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5143" w14:textId="77777777" w:rsidR="00801751" w:rsidRPr="00801751" w:rsidRDefault="00801751" w:rsidP="00801751">
      <w:pPr>
        <w:shd w:val="clear" w:color="auto" w:fill="E6E6E6"/>
        <w:tabs>
          <w:tab w:val="left" w:pos="-4788"/>
          <w:tab w:val="left" w:pos="2100"/>
        </w:tabs>
        <w:suppressAutoHyphens/>
        <w:spacing w:after="0" w:line="240" w:lineRule="auto"/>
        <w:ind w:left="2100" w:hanging="2100"/>
        <w:rPr>
          <w:rFonts w:ascii="Arial" w:hAnsi="Arial"/>
          <w:b/>
          <w:bCs/>
          <w:iCs/>
          <w:color w:val="auto"/>
          <w:position w:val="4"/>
          <w:sz w:val="28"/>
          <w:szCs w:val="24"/>
          <w:lang w:eastAsia="ar-SA"/>
        </w:rPr>
      </w:pPr>
      <w:proofErr w:type="gramStart"/>
      <w:r w:rsidRPr="00801751">
        <w:rPr>
          <w:rFonts w:ascii="Arial" w:hAnsi="Arial"/>
          <w:b/>
          <w:bCs/>
          <w:iCs/>
          <w:color w:val="auto"/>
          <w:position w:val="4"/>
          <w:sz w:val="28"/>
          <w:szCs w:val="24"/>
          <w:lang w:eastAsia="ar-SA"/>
        </w:rPr>
        <w:t>Akce :</w:t>
      </w:r>
      <w:proofErr w:type="gramEnd"/>
      <w:r w:rsidRPr="00801751">
        <w:rPr>
          <w:rFonts w:ascii="Arial" w:hAnsi="Arial"/>
          <w:b/>
          <w:bCs/>
          <w:iCs/>
          <w:color w:val="auto"/>
          <w:position w:val="4"/>
          <w:sz w:val="28"/>
          <w:szCs w:val="24"/>
          <w:lang w:eastAsia="ar-SA"/>
        </w:rPr>
        <w:tab/>
      </w:r>
      <w:r w:rsidRPr="00801751">
        <w:rPr>
          <w:rFonts w:ascii="Calibri" w:hAnsi="Calibri" w:cs="Arial"/>
          <w:b/>
          <w:bCs/>
          <w:color w:val="auto"/>
          <w:sz w:val="32"/>
          <w:szCs w:val="24"/>
          <w:lang w:eastAsia="ar-SA"/>
        </w:rPr>
        <w:t>TECHNICKÁ INFRASTRUKTURA PRO LOKALITU Z16 – DOLNÍ VILÉMOVICE</w:t>
      </w:r>
    </w:p>
    <w:p w14:paraId="4FA83E99" w14:textId="77777777" w:rsidR="00801751" w:rsidRPr="00801751" w:rsidRDefault="00801751" w:rsidP="00801751">
      <w:pPr>
        <w:tabs>
          <w:tab w:val="left" w:pos="-4788"/>
          <w:tab w:val="left" w:pos="2128"/>
        </w:tabs>
        <w:suppressAutoHyphens/>
        <w:spacing w:after="0" w:line="240" w:lineRule="auto"/>
        <w:ind w:left="2100" w:hanging="2100"/>
        <w:rPr>
          <w:rFonts w:ascii="Arial" w:hAnsi="Arial"/>
          <w:b/>
          <w:bCs/>
          <w:color w:val="auto"/>
          <w:position w:val="20"/>
          <w:szCs w:val="24"/>
          <w:lang w:eastAsia="ar-SA"/>
        </w:rPr>
      </w:pPr>
      <w:r w:rsidRPr="00801751">
        <w:rPr>
          <w:rFonts w:ascii="Arial" w:hAnsi="Arial"/>
          <w:color w:val="auto"/>
          <w:position w:val="20"/>
          <w:szCs w:val="24"/>
          <w:lang w:eastAsia="ar-SA"/>
        </w:rPr>
        <w:t>Místo stavby:</w:t>
      </w:r>
      <w:r w:rsidRPr="00801751">
        <w:rPr>
          <w:rFonts w:ascii="Arial" w:hAnsi="Arial"/>
          <w:color w:val="auto"/>
          <w:position w:val="20"/>
          <w:szCs w:val="24"/>
          <w:lang w:eastAsia="ar-SA"/>
        </w:rPr>
        <w:tab/>
      </w:r>
      <w:proofErr w:type="spellStart"/>
      <w:r w:rsidRPr="00801751">
        <w:rPr>
          <w:rFonts w:ascii="Arial" w:hAnsi="Arial"/>
          <w:b/>
          <w:bCs/>
          <w:color w:val="auto"/>
          <w:position w:val="20"/>
          <w:szCs w:val="24"/>
          <w:lang w:eastAsia="ar-SA"/>
        </w:rPr>
        <w:t>k.ú</w:t>
      </w:r>
      <w:proofErr w:type="spellEnd"/>
      <w:r w:rsidRPr="00801751">
        <w:rPr>
          <w:rFonts w:ascii="Arial" w:hAnsi="Arial"/>
          <w:b/>
          <w:bCs/>
          <w:color w:val="auto"/>
          <w:position w:val="20"/>
          <w:szCs w:val="24"/>
          <w:lang w:eastAsia="ar-SA"/>
        </w:rPr>
        <w:t xml:space="preserve">. Dolní Vilémovice </w:t>
      </w:r>
    </w:p>
    <w:p w14:paraId="04764376" w14:textId="77777777" w:rsidR="00801751" w:rsidRPr="00801751" w:rsidRDefault="00801751" w:rsidP="00801751">
      <w:pPr>
        <w:tabs>
          <w:tab w:val="left" w:pos="-4788"/>
          <w:tab w:val="left" w:pos="2128"/>
        </w:tabs>
        <w:suppressAutoHyphens/>
        <w:spacing w:after="0" w:line="240" w:lineRule="auto"/>
        <w:ind w:left="0" w:firstLine="0"/>
        <w:rPr>
          <w:rFonts w:ascii="Arial" w:hAnsi="Arial"/>
          <w:b/>
          <w:color w:val="auto"/>
          <w:position w:val="20"/>
          <w:szCs w:val="24"/>
          <w:lang w:eastAsia="ar-SA"/>
        </w:rPr>
      </w:pPr>
      <w:proofErr w:type="gramStart"/>
      <w:r w:rsidRPr="00801751">
        <w:rPr>
          <w:rFonts w:ascii="Arial" w:hAnsi="Arial"/>
          <w:color w:val="auto"/>
          <w:position w:val="20"/>
          <w:szCs w:val="24"/>
          <w:lang w:eastAsia="ar-SA"/>
        </w:rPr>
        <w:t>Investor :</w:t>
      </w:r>
      <w:proofErr w:type="gramEnd"/>
      <w:r w:rsidRPr="00801751">
        <w:rPr>
          <w:rFonts w:ascii="Arial" w:hAnsi="Arial"/>
          <w:color w:val="auto"/>
          <w:position w:val="20"/>
          <w:szCs w:val="24"/>
          <w:lang w:eastAsia="ar-SA"/>
        </w:rPr>
        <w:tab/>
      </w:r>
      <w:r w:rsidRPr="00801751">
        <w:rPr>
          <w:rFonts w:ascii="Arial" w:hAnsi="Arial"/>
          <w:b/>
          <w:color w:val="auto"/>
          <w:position w:val="20"/>
          <w:szCs w:val="24"/>
          <w:lang w:eastAsia="ar-SA"/>
        </w:rPr>
        <w:t xml:space="preserve">Obec Dolní Vilémovice, Dolní Vilémovice 142,  675 52 Lipník </w:t>
      </w:r>
    </w:p>
    <w:p w14:paraId="4806AB1B" w14:textId="77777777" w:rsidR="00801751" w:rsidRPr="00801751" w:rsidRDefault="00801751" w:rsidP="00801751">
      <w:pPr>
        <w:pBdr>
          <w:bottom w:val="single" w:sz="4" w:space="1" w:color="000000"/>
        </w:pBdr>
        <w:tabs>
          <w:tab w:val="left" w:pos="266"/>
        </w:tabs>
        <w:suppressAutoHyphens/>
        <w:spacing w:after="0" w:line="240" w:lineRule="auto"/>
        <w:ind w:left="0" w:firstLine="0"/>
        <w:rPr>
          <w:rFonts w:ascii="Arial" w:hAnsi="Arial"/>
          <w:color w:val="auto"/>
          <w:sz w:val="2"/>
          <w:szCs w:val="24"/>
          <w:lang w:eastAsia="ar-SA"/>
        </w:rPr>
      </w:pPr>
    </w:p>
    <w:p w14:paraId="42DF0F36" w14:textId="77777777" w:rsidR="00801751" w:rsidRPr="00801751" w:rsidRDefault="00801751" w:rsidP="00801751">
      <w:pPr>
        <w:suppressAutoHyphens/>
        <w:spacing w:after="0" w:line="240" w:lineRule="auto"/>
        <w:ind w:left="0" w:firstLine="0"/>
        <w:rPr>
          <w:color w:val="auto"/>
          <w:szCs w:val="24"/>
          <w:lang w:eastAsia="ar-SA"/>
        </w:rPr>
      </w:pPr>
    </w:p>
    <w:p w14:paraId="025773BF" w14:textId="77777777" w:rsidR="00801751" w:rsidRPr="00801751" w:rsidRDefault="00801751" w:rsidP="00801751">
      <w:pPr>
        <w:suppressAutoHyphens/>
        <w:spacing w:after="0" w:line="240" w:lineRule="auto"/>
        <w:ind w:left="0" w:firstLine="0"/>
        <w:rPr>
          <w:color w:val="auto"/>
          <w:szCs w:val="24"/>
          <w:lang w:eastAsia="ar-SA"/>
        </w:rPr>
      </w:pPr>
    </w:p>
    <w:p w14:paraId="700013CA" w14:textId="77777777" w:rsidR="00801751" w:rsidRPr="00801751" w:rsidRDefault="00801751" w:rsidP="00801751">
      <w:pPr>
        <w:suppressAutoHyphens/>
        <w:spacing w:before="120" w:after="120" w:line="240" w:lineRule="auto"/>
        <w:ind w:left="0" w:firstLine="0"/>
        <w:jc w:val="center"/>
        <w:rPr>
          <w:rFonts w:ascii="Arial" w:hAnsi="Arial" w:cs="Arial"/>
          <w:b/>
          <w:color w:val="auto"/>
          <w:sz w:val="40"/>
          <w:szCs w:val="40"/>
          <w:lang w:eastAsia="ar-SA"/>
        </w:rPr>
      </w:pPr>
    </w:p>
    <w:p w14:paraId="4E042F6F" w14:textId="77777777" w:rsidR="00801751" w:rsidRPr="00801751" w:rsidRDefault="00801751" w:rsidP="00801751">
      <w:pPr>
        <w:suppressAutoHyphens/>
        <w:spacing w:before="120" w:after="120" w:line="240" w:lineRule="auto"/>
        <w:ind w:left="0" w:firstLine="0"/>
        <w:jc w:val="center"/>
        <w:rPr>
          <w:rFonts w:ascii="Arial" w:hAnsi="Arial" w:cs="Arial"/>
          <w:b/>
          <w:color w:val="auto"/>
          <w:sz w:val="40"/>
          <w:szCs w:val="40"/>
          <w:lang w:eastAsia="ar-SA"/>
        </w:rPr>
      </w:pPr>
    </w:p>
    <w:p w14:paraId="119C9A41" w14:textId="77777777" w:rsidR="00801751" w:rsidRPr="00801751" w:rsidRDefault="00801751" w:rsidP="00801751">
      <w:pPr>
        <w:suppressAutoHyphens/>
        <w:spacing w:before="120" w:after="120" w:line="240" w:lineRule="auto"/>
        <w:ind w:left="0" w:firstLine="0"/>
        <w:jc w:val="center"/>
        <w:rPr>
          <w:rFonts w:ascii="Arial" w:hAnsi="Arial" w:cs="Arial"/>
          <w:b/>
          <w:color w:val="auto"/>
          <w:sz w:val="40"/>
          <w:szCs w:val="40"/>
          <w:lang w:eastAsia="ar-SA"/>
        </w:rPr>
      </w:pPr>
    </w:p>
    <w:p w14:paraId="3FD67CCA" w14:textId="77777777" w:rsidR="00801751" w:rsidRPr="00801751" w:rsidRDefault="00801751" w:rsidP="00801751">
      <w:pPr>
        <w:suppressAutoHyphens/>
        <w:spacing w:after="0" w:line="240" w:lineRule="auto"/>
        <w:ind w:left="0" w:firstLine="0"/>
        <w:jc w:val="center"/>
        <w:rPr>
          <w:rFonts w:ascii="Arial" w:hAnsi="Arial" w:cs="Arial"/>
          <w:b/>
          <w:color w:val="auto"/>
          <w:sz w:val="40"/>
          <w:szCs w:val="40"/>
          <w:lang w:eastAsia="ar-SA"/>
        </w:rPr>
      </w:pPr>
      <w:r w:rsidRPr="00801751">
        <w:rPr>
          <w:rFonts w:ascii="Calibri" w:hAnsi="Calibri" w:cs="Arial"/>
          <w:b/>
          <w:bCs/>
          <w:color w:val="auto"/>
          <w:sz w:val="32"/>
          <w:szCs w:val="24"/>
          <w:lang w:eastAsia="ar-SA"/>
        </w:rPr>
        <w:t>TECHNICKÁ INFRASTRUKTURA PRO LOKALITU Z16 – DOLNÍ VILÉMOVICE</w:t>
      </w:r>
    </w:p>
    <w:p w14:paraId="227E2EAC" w14:textId="77777777" w:rsidR="00801751" w:rsidRPr="00801751" w:rsidRDefault="00801751" w:rsidP="00801751">
      <w:pPr>
        <w:suppressAutoHyphens/>
        <w:spacing w:after="0" w:line="240" w:lineRule="auto"/>
        <w:ind w:left="0" w:firstLine="0"/>
        <w:jc w:val="center"/>
        <w:rPr>
          <w:rFonts w:ascii="Arial" w:hAnsi="Arial" w:cs="Arial"/>
          <w:b/>
          <w:color w:val="auto"/>
          <w:sz w:val="40"/>
          <w:szCs w:val="40"/>
          <w:lang w:eastAsia="ar-SA"/>
        </w:rPr>
      </w:pPr>
      <w:r w:rsidRPr="00801751">
        <w:rPr>
          <w:rFonts w:ascii="Arial" w:hAnsi="Arial" w:cs="Arial"/>
          <w:b/>
          <w:color w:val="auto"/>
          <w:sz w:val="40"/>
          <w:szCs w:val="40"/>
          <w:lang w:eastAsia="ar-SA"/>
        </w:rPr>
        <w:t>SO-03 PLYNOVOD</w:t>
      </w:r>
    </w:p>
    <w:p w14:paraId="5DD1356E" w14:textId="77777777" w:rsidR="00801751" w:rsidRPr="00801751" w:rsidRDefault="00801751" w:rsidP="00801751">
      <w:pPr>
        <w:suppressAutoHyphens/>
        <w:spacing w:after="0" w:line="240" w:lineRule="auto"/>
        <w:ind w:left="0" w:firstLine="0"/>
        <w:jc w:val="center"/>
        <w:rPr>
          <w:rFonts w:ascii="Arial" w:hAnsi="Arial" w:cs="Arial"/>
          <w:b/>
          <w:color w:val="auto"/>
          <w:sz w:val="40"/>
          <w:szCs w:val="40"/>
          <w:lang w:eastAsia="ar-SA"/>
        </w:rPr>
      </w:pPr>
    </w:p>
    <w:p w14:paraId="3DFB9899" w14:textId="67DDF3EF" w:rsidR="00801751" w:rsidRPr="00801751" w:rsidRDefault="00D136A1" w:rsidP="00801751">
      <w:pPr>
        <w:suppressAutoHyphens/>
        <w:spacing w:after="0" w:line="240" w:lineRule="auto"/>
        <w:ind w:left="0" w:firstLine="0"/>
        <w:jc w:val="center"/>
        <w:rPr>
          <w:rFonts w:ascii="Arial" w:hAnsi="Arial" w:cs="Arial"/>
          <w:color w:val="auto"/>
          <w:sz w:val="36"/>
          <w:szCs w:val="36"/>
          <w:lang w:eastAsia="ar-SA"/>
        </w:rPr>
      </w:pPr>
      <w:r>
        <w:rPr>
          <w:rFonts w:ascii="Arial" w:hAnsi="Arial" w:cs="Arial"/>
          <w:color w:val="auto"/>
          <w:sz w:val="36"/>
          <w:szCs w:val="36"/>
          <w:lang w:eastAsia="ar-SA"/>
        </w:rPr>
        <w:t>D</w:t>
      </w:r>
      <w:r w:rsidR="00801751" w:rsidRPr="00801751">
        <w:rPr>
          <w:rFonts w:ascii="Arial" w:hAnsi="Arial" w:cs="Arial"/>
          <w:color w:val="auto"/>
          <w:sz w:val="36"/>
          <w:szCs w:val="36"/>
          <w:lang w:eastAsia="ar-SA"/>
        </w:rPr>
        <w:t xml:space="preserve">/ </w:t>
      </w:r>
      <w:r>
        <w:rPr>
          <w:rFonts w:ascii="Arial" w:hAnsi="Arial" w:cs="Arial"/>
          <w:color w:val="auto"/>
          <w:sz w:val="36"/>
          <w:szCs w:val="36"/>
          <w:lang w:eastAsia="ar-SA"/>
        </w:rPr>
        <w:t xml:space="preserve">TECHNICKÁ </w:t>
      </w:r>
      <w:r w:rsidR="00801751" w:rsidRPr="00801751">
        <w:rPr>
          <w:rFonts w:ascii="Arial" w:hAnsi="Arial" w:cs="Arial"/>
          <w:color w:val="auto"/>
          <w:sz w:val="36"/>
          <w:szCs w:val="36"/>
          <w:lang w:eastAsia="ar-SA"/>
        </w:rPr>
        <w:t>ZPRÁVA</w:t>
      </w:r>
    </w:p>
    <w:p w14:paraId="19403A36" w14:textId="48E3FFE6" w:rsidR="00801751" w:rsidRDefault="00801751" w:rsidP="00801751">
      <w:pPr>
        <w:suppressAutoHyphens/>
        <w:spacing w:after="0" w:line="240" w:lineRule="auto"/>
        <w:ind w:left="0" w:firstLine="0"/>
        <w:rPr>
          <w:color w:val="auto"/>
          <w:szCs w:val="24"/>
          <w:lang w:eastAsia="ar-SA"/>
        </w:rPr>
      </w:pPr>
    </w:p>
    <w:p w14:paraId="6DDCFFDB" w14:textId="52506493" w:rsidR="00D136A1" w:rsidRDefault="00D136A1" w:rsidP="00801751">
      <w:pPr>
        <w:suppressAutoHyphens/>
        <w:spacing w:after="0" w:line="240" w:lineRule="auto"/>
        <w:ind w:left="0" w:firstLine="0"/>
        <w:rPr>
          <w:color w:val="auto"/>
          <w:szCs w:val="24"/>
          <w:lang w:eastAsia="ar-SA"/>
        </w:rPr>
      </w:pPr>
    </w:p>
    <w:p w14:paraId="712F4A85" w14:textId="3E4AB878" w:rsidR="00D136A1" w:rsidRDefault="00D136A1" w:rsidP="00801751">
      <w:pPr>
        <w:suppressAutoHyphens/>
        <w:spacing w:after="0" w:line="240" w:lineRule="auto"/>
        <w:ind w:left="0" w:firstLine="0"/>
        <w:rPr>
          <w:color w:val="auto"/>
          <w:szCs w:val="24"/>
          <w:lang w:eastAsia="ar-SA"/>
        </w:rPr>
      </w:pPr>
    </w:p>
    <w:p w14:paraId="539399A7" w14:textId="77777777" w:rsidR="00D136A1" w:rsidRPr="00801751" w:rsidRDefault="00D136A1" w:rsidP="00801751">
      <w:pPr>
        <w:suppressAutoHyphens/>
        <w:spacing w:after="0" w:line="240" w:lineRule="auto"/>
        <w:ind w:left="0" w:firstLine="0"/>
        <w:rPr>
          <w:color w:val="auto"/>
          <w:szCs w:val="24"/>
          <w:lang w:eastAsia="ar-SA"/>
        </w:rPr>
      </w:pPr>
    </w:p>
    <w:p w14:paraId="5005DA8B" w14:textId="77777777" w:rsidR="00801751" w:rsidRPr="00801751" w:rsidRDefault="00801751" w:rsidP="00801751">
      <w:pPr>
        <w:suppressAutoHyphens/>
        <w:spacing w:after="0" w:line="240" w:lineRule="auto"/>
        <w:ind w:left="0" w:firstLine="0"/>
        <w:rPr>
          <w:color w:val="auto"/>
          <w:szCs w:val="24"/>
          <w:lang w:eastAsia="ar-SA"/>
        </w:rPr>
      </w:pPr>
    </w:p>
    <w:p w14:paraId="0B9DF7CB" w14:textId="77777777" w:rsidR="00801751" w:rsidRPr="00801751" w:rsidRDefault="00801751" w:rsidP="00801751">
      <w:pPr>
        <w:suppressAutoHyphens/>
        <w:spacing w:after="0" w:line="240" w:lineRule="auto"/>
        <w:ind w:left="0" w:firstLine="0"/>
        <w:rPr>
          <w:color w:val="auto"/>
          <w:szCs w:val="24"/>
          <w:lang w:eastAsia="ar-SA"/>
        </w:rPr>
      </w:pPr>
    </w:p>
    <w:p w14:paraId="4637CC6F"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65AAA62C"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5EB5DCBF"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01E26169"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64BF9A56"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590C0FE"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3D48A265"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68AD988"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37C7EBE8"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0BB1F149"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4482345E"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521FD27D"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9DAE52C"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4D9681B4"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1FAC37D" w14:textId="4800F2A5" w:rsid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67698EA3" w14:textId="5791F63B" w:rsid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15A0084F" w14:textId="376B6E21" w:rsid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F6CC101" w14:textId="7A35151B" w:rsid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6177B387" w14:textId="482F32A9" w:rsid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55B75775"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C2A57DF"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6F79C819"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2DFE48DD"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0F3E21C7"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5DA27A73" w14:textId="77777777" w:rsidR="00801751" w:rsidRPr="00801751" w:rsidRDefault="00801751" w:rsidP="00801751">
      <w:pPr>
        <w:tabs>
          <w:tab w:val="left" w:pos="266"/>
        </w:tabs>
        <w:suppressAutoHyphens/>
        <w:spacing w:after="0" w:line="240" w:lineRule="auto"/>
        <w:ind w:left="0" w:firstLine="0"/>
        <w:rPr>
          <w:rFonts w:ascii="Arial" w:hAnsi="Arial"/>
          <w:bCs/>
          <w:i/>
          <w:color w:val="auto"/>
          <w:szCs w:val="24"/>
          <w:lang w:eastAsia="ar-SA"/>
        </w:rPr>
      </w:pPr>
    </w:p>
    <w:p w14:paraId="3D407F98" w14:textId="77777777" w:rsidR="00801751" w:rsidRPr="00801751" w:rsidRDefault="00801751" w:rsidP="00801751">
      <w:pPr>
        <w:tabs>
          <w:tab w:val="left" w:pos="1680"/>
        </w:tabs>
        <w:suppressAutoHyphens/>
        <w:spacing w:after="0" w:line="240" w:lineRule="auto"/>
        <w:ind w:left="0" w:firstLine="0"/>
        <w:rPr>
          <w:rFonts w:ascii="Arial" w:hAnsi="Arial"/>
          <w:i/>
          <w:color w:val="auto"/>
          <w:sz w:val="22"/>
          <w:lang w:eastAsia="ar-SA"/>
        </w:rPr>
      </w:pPr>
      <w:r w:rsidRPr="00801751">
        <w:rPr>
          <w:rFonts w:ascii="Arial" w:hAnsi="Arial"/>
          <w:b/>
          <w:i/>
          <w:color w:val="auto"/>
          <w:sz w:val="22"/>
          <w:lang w:eastAsia="ar-SA"/>
        </w:rPr>
        <w:t>Vypracoval: Ing. Vítězslav Pruša</w:t>
      </w:r>
      <w:r w:rsidRPr="00801751">
        <w:rPr>
          <w:rFonts w:ascii="Arial" w:hAnsi="Arial" w:cs="Arial"/>
          <w:color w:val="auto"/>
          <w:sz w:val="22"/>
          <w:lang w:eastAsia="ar-SA"/>
        </w:rPr>
        <w:tab/>
      </w:r>
      <w:r w:rsidRPr="00801751">
        <w:rPr>
          <w:rFonts w:ascii="Arial" w:hAnsi="Arial" w:cs="Arial"/>
          <w:color w:val="auto"/>
          <w:sz w:val="22"/>
          <w:lang w:eastAsia="ar-SA"/>
        </w:rPr>
        <w:tab/>
      </w:r>
      <w:r w:rsidRPr="00801751">
        <w:rPr>
          <w:rFonts w:ascii="Arial" w:hAnsi="Arial" w:cs="Arial"/>
          <w:color w:val="auto"/>
          <w:sz w:val="22"/>
          <w:lang w:eastAsia="ar-SA"/>
        </w:rPr>
        <w:tab/>
      </w:r>
      <w:r w:rsidRPr="00801751">
        <w:rPr>
          <w:rFonts w:ascii="Arial" w:hAnsi="Arial" w:cs="Arial"/>
          <w:color w:val="auto"/>
          <w:sz w:val="22"/>
          <w:lang w:eastAsia="ar-SA"/>
        </w:rPr>
        <w:tab/>
      </w:r>
      <w:r w:rsidRPr="00801751">
        <w:rPr>
          <w:rFonts w:ascii="Arial" w:hAnsi="Arial" w:cs="Arial"/>
          <w:color w:val="auto"/>
          <w:sz w:val="22"/>
          <w:lang w:eastAsia="ar-SA"/>
        </w:rPr>
        <w:tab/>
      </w:r>
      <w:r w:rsidRPr="00801751">
        <w:rPr>
          <w:rFonts w:ascii="Arial" w:hAnsi="Arial" w:cs="Arial"/>
          <w:color w:val="auto"/>
          <w:sz w:val="22"/>
          <w:lang w:eastAsia="ar-SA"/>
        </w:rPr>
        <w:tab/>
      </w:r>
      <w:proofErr w:type="gramStart"/>
      <w:r w:rsidRPr="00801751">
        <w:rPr>
          <w:rFonts w:ascii="Arial" w:hAnsi="Arial"/>
          <w:b/>
          <w:i/>
          <w:color w:val="auto"/>
          <w:sz w:val="22"/>
          <w:lang w:eastAsia="ar-SA"/>
        </w:rPr>
        <w:t>Datum :</w:t>
      </w:r>
      <w:proofErr w:type="gramEnd"/>
      <w:r w:rsidRPr="00801751">
        <w:rPr>
          <w:rFonts w:ascii="Arial" w:hAnsi="Arial"/>
          <w:b/>
          <w:i/>
          <w:color w:val="auto"/>
          <w:sz w:val="22"/>
          <w:lang w:eastAsia="ar-SA"/>
        </w:rPr>
        <w:t xml:space="preserve"> </w:t>
      </w:r>
      <w:r w:rsidRPr="00801751">
        <w:rPr>
          <w:rFonts w:ascii="Arial" w:hAnsi="Arial"/>
          <w:i/>
          <w:color w:val="auto"/>
          <w:sz w:val="22"/>
          <w:lang w:eastAsia="ar-SA"/>
        </w:rPr>
        <w:t>leden 2022</w:t>
      </w:r>
    </w:p>
    <w:p w14:paraId="097A6180" w14:textId="6AB4B2D6" w:rsidR="00801751" w:rsidRDefault="00801751" w:rsidP="00C96FB6">
      <w:pPr>
        <w:pStyle w:val="textpsmene"/>
        <w:ind w:left="0" w:firstLine="0"/>
        <w:rPr>
          <w:rFonts w:ascii="Arial" w:hAnsi="Arial" w:cs="Arial"/>
          <w:b/>
          <w:bCs/>
          <w:sz w:val="32"/>
          <w:szCs w:val="20"/>
          <w:u w:val="single"/>
        </w:rPr>
      </w:pPr>
    </w:p>
    <w:p w14:paraId="313DB49A" w14:textId="77777777" w:rsidR="00801751" w:rsidRDefault="00801751" w:rsidP="00C96FB6">
      <w:pPr>
        <w:pStyle w:val="textpsmene"/>
        <w:ind w:left="0" w:firstLine="0"/>
        <w:rPr>
          <w:rFonts w:ascii="Arial" w:hAnsi="Arial" w:cs="Arial"/>
          <w:b/>
          <w:bCs/>
          <w:sz w:val="32"/>
          <w:szCs w:val="20"/>
          <w:u w:val="single"/>
        </w:rPr>
      </w:pPr>
    </w:p>
    <w:p w14:paraId="7A3A240F" w14:textId="42A9DC6F" w:rsidR="00C96FB6" w:rsidRDefault="00C96FB6" w:rsidP="00C96FB6">
      <w:pPr>
        <w:pStyle w:val="textpsmene"/>
        <w:ind w:left="0" w:firstLine="0"/>
        <w:rPr>
          <w:rFonts w:ascii="Arial" w:hAnsi="Arial" w:cs="Arial"/>
          <w:b/>
          <w:bCs/>
          <w:sz w:val="32"/>
          <w:szCs w:val="20"/>
          <w:u w:val="single"/>
        </w:rPr>
      </w:pPr>
      <w:r>
        <w:rPr>
          <w:rFonts w:ascii="Arial" w:hAnsi="Arial" w:cs="Arial"/>
          <w:b/>
          <w:bCs/>
          <w:sz w:val="32"/>
          <w:szCs w:val="20"/>
          <w:u w:val="single"/>
        </w:rPr>
        <w:lastRenderedPageBreak/>
        <w:t>D. Dokumentace stavebních objektů</w:t>
      </w:r>
    </w:p>
    <w:p w14:paraId="71D9CFB5" w14:textId="77777777" w:rsidR="00C96FB6" w:rsidRPr="00E21B5F" w:rsidRDefault="00C96FB6" w:rsidP="00C96FB6">
      <w:pPr>
        <w:pStyle w:val="Zkladntext"/>
        <w:tabs>
          <w:tab w:val="left" w:pos="720"/>
        </w:tabs>
        <w:ind w:left="360"/>
        <w:rPr>
          <w:b/>
          <w:i w:val="0"/>
          <w:color w:val="000000"/>
          <w:sz w:val="28"/>
          <w:szCs w:val="22"/>
          <w:u w:val="single" w:color="000000"/>
          <w:lang w:eastAsia="cs-CZ"/>
        </w:rPr>
      </w:pPr>
    </w:p>
    <w:p w14:paraId="4C0247A4" w14:textId="77777777" w:rsidR="00C96FB6" w:rsidRPr="00E21B5F" w:rsidRDefault="00C96FB6" w:rsidP="00C96FB6">
      <w:pPr>
        <w:jc w:val="both"/>
        <w:rPr>
          <w:b/>
          <w:sz w:val="28"/>
          <w:u w:val="single" w:color="000000"/>
        </w:rPr>
      </w:pPr>
      <w:r w:rsidRPr="00E21B5F">
        <w:rPr>
          <w:b/>
          <w:sz w:val="28"/>
          <w:u w:val="single" w:color="000000"/>
        </w:rPr>
        <w:t>1.Inženýrské objekty</w:t>
      </w:r>
    </w:p>
    <w:p w14:paraId="5D291ABF" w14:textId="77777777" w:rsidR="00C96FB6" w:rsidRPr="00E21B5F" w:rsidRDefault="00C96FB6" w:rsidP="00C96FB6">
      <w:pPr>
        <w:pStyle w:val="Nadpis4"/>
        <w:tabs>
          <w:tab w:val="num" w:pos="1080"/>
        </w:tabs>
        <w:spacing w:before="120" w:after="60"/>
        <w:ind w:left="0" w:firstLine="0"/>
        <w:jc w:val="both"/>
        <w:rPr>
          <w:color w:val="auto"/>
        </w:rPr>
      </w:pPr>
      <w:bookmarkStart w:id="0" w:name="_Toc193674605"/>
      <w:r w:rsidRPr="00E21B5F">
        <w:rPr>
          <w:color w:val="auto"/>
        </w:rPr>
        <w:t>Druh a rozsah dokumentace</w:t>
      </w:r>
      <w:bookmarkEnd w:id="0"/>
    </w:p>
    <w:p w14:paraId="0ADD4F56" w14:textId="69BD723E" w:rsidR="006A4433" w:rsidRDefault="00C96FB6" w:rsidP="006A4433">
      <w:pPr>
        <w:jc w:val="both"/>
        <w:rPr>
          <w:rFonts w:ascii="Arial" w:hAnsi="Arial" w:cs="Arial"/>
          <w:iCs/>
          <w:sz w:val="22"/>
        </w:rPr>
      </w:pPr>
      <w:r w:rsidRPr="00E21B5F">
        <w:rPr>
          <w:rFonts w:ascii="Arial" w:hAnsi="Arial" w:cs="Arial"/>
          <w:sz w:val="22"/>
        </w:rPr>
        <w:t xml:space="preserve">projektová dokumentace pro územní rozhodnutí </w:t>
      </w:r>
      <w:proofErr w:type="gramStart"/>
      <w:r w:rsidRPr="00E21B5F">
        <w:rPr>
          <w:rFonts w:ascii="Arial" w:hAnsi="Arial" w:cs="Arial"/>
          <w:sz w:val="22"/>
        </w:rPr>
        <w:t>řeší</w:t>
      </w:r>
      <w:proofErr w:type="gramEnd"/>
      <w:r w:rsidRPr="00E21B5F">
        <w:rPr>
          <w:rFonts w:ascii="Arial" w:hAnsi="Arial" w:cs="Arial"/>
          <w:sz w:val="22"/>
        </w:rPr>
        <w:t xml:space="preserve"> </w:t>
      </w:r>
      <w:r w:rsidR="007D6C75">
        <w:rPr>
          <w:rFonts w:ascii="Arial" w:hAnsi="Arial" w:cs="Arial"/>
          <w:sz w:val="22"/>
        </w:rPr>
        <w:t>plynovodní</w:t>
      </w:r>
      <w:r w:rsidRPr="00E21B5F">
        <w:rPr>
          <w:rFonts w:ascii="Arial" w:hAnsi="Arial" w:cs="Arial"/>
          <w:sz w:val="22"/>
        </w:rPr>
        <w:t xml:space="preserve"> řad v obci </w:t>
      </w:r>
      <w:bookmarkStart w:id="1" w:name="_Hlk83884642"/>
      <w:r w:rsidR="00801751">
        <w:rPr>
          <w:rFonts w:ascii="Arial" w:hAnsi="Arial" w:cs="Arial"/>
          <w:sz w:val="22"/>
        </w:rPr>
        <w:t>Dolní Vilémovice</w:t>
      </w:r>
      <w:r w:rsidRPr="00E21B5F">
        <w:rPr>
          <w:rFonts w:ascii="Arial" w:hAnsi="Arial" w:cs="Arial"/>
          <w:sz w:val="22"/>
        </w:rPr>
        <w:t xml:space="preserve">, </w:t>
      </w:r>
      <w:bookmarkEnd w:id="1"/>
      <w:r w:rsidR="006A4433">
        <w:rPr>
          <w:rFonts w:ascii="Arial" w:hAnsi="Arial" w:cs="Arial"/>
          <w:iCs/>
          <w:sz w:val="22"/>
        </w:rPr>
        <w:t>v</w:t>
      </w:r>
      <w:r w:rsidR="00801751">
        <w:rPr>
          <w:rFonts w:ascii="Arial" w:hAnsi="Arial" w:cs="Arial"/>
          <w:iCs/>
          <w:sz w:val="22"/>
        </w:rPr>
        <w:t> </w:t>
      </w:r>
      <w:r w:rsidR="006A4433">
        <w:rPr>
          <w:rFonts w:ascii="Arial" w:hAnsi="Arial" w:cs="Arial"/>
          <w:iCs/>
          <w:sz w:val="22"/>
        </w:rPr>
        <w:t>sever</w:t>
      </w:r>
      <w:r w:rsidR="00801751">
        <w:rPr>
          <w:rFonts w:ascii="Arial" w:hAnsi="Arial" w:cs="Arial"/>
          <w:iCs/>
          <w:sz w:val="22"/>
        </w:rPr>
        <w:t>ovýchodním</w:t>
      </w:r>
      <w:r w:rsidR="006A4433">
        <w:rPr>
          <w:rFonts w:ascii="Arial" w:hAnsi="Arial" w:cs="Arial"/>
          <w:iCs/>
          <w:sz w:val="22"/>
        </w:rPr>
        <w:t xml:space="preserve"> okraji obce.</w:t>
      </w:r>
      <w:r w:rsidR="006A4433" w:rsidRPr="001A08D9">
        <w:rPr>
          <w:rFonts w:ascii="Arial" w:hAnsi="Arial" w:cs="Arial"/>
          <w:iCs/>
          <w:sz w:val="22"/>
        </w:rPr>
        <w:t xml:space="preserve"> </w:t>
      </w:r>
    </w:p>
    <w:p w14:paraId="60C4841B" w14:textId="12B02738" w:rsidR="00E21B5F" w:rsidRPr="00E21B5F" w:rsidRDefault="00E21B5F" w:rsidP="006A4433">
      <w:pPr>
        <w:jc w:val="both"/>
        <w:rPr>
          <w:rFonts w:ascii="Arial" w:hAnsi="Arial" w:cs="Arial"/>
          <w:sz w:val="22"/>
        </w:rPr>
      </w:pPr>
      <w:r w:rsidRPr="00E21B5F">
        <w:rPr>
          <w:rFonts w:ascii="Arial" w:hAnsi="Arial" w:cs="Arial"/>
          <w:sz w:val="22"/>
        </w:rPr>
        <w:t xml:space="preserve">Při řešení plynovodu se vycházelo z konfigurace terénu, navrhované zástavby, situování ostatních inženýrských sítí a místních </w:t>
      </w:r>
      <w:proofErr w:type="gramStart"/>
      <w:r w:rsidRPr="00E21B5F">
        <w:rPr>
          <w:rFonts w:ascii="Arial" w:hAnsi="Arial" w:cs="Arial"/>
          <w:sz w:val="22"/>
        </w:rPr>
        <w:t>podmínek .</w:t>
      </w:r>
      <w:proofErr w:type="gramEnd"/>
      <w:r w:rsidRPr="00E21B5F">
        <w:rPr>
          <w:rFonts w:ascii="Arial" w:hAnsi="Arial" w:cs="Arial"/>
          <w:sz w:val="22"/>
        </w:rPr>
        <w:t xml:space="preserve"> </w:t>
      </w:r>
    </w:p>
    <w:p w14:paraId="3B4F2F45" w14:textId="5DF74CC6" w:rsidR="006A4433" w:rsidRPr="006A4433" w:rsidRDefault="00C96FB6" w:rsidP="006A4433">
      <w:pPr>
        <w:ind w:firstLine="360"/>
        <w:rPr>
          <w:rFonts w:ascii="Arial" w:hAnsi="Arial" w:cs="Arial"/>
          <w:sz w:val="22"/>
        </w:rPr>
      </w:pPr>
      <w:r>
        <w:rPr>
          <w:rFonts w:ascii="Arial" w:hAnsi="Arial" w:cs="Arial"/>
          <w:sz w:val="22"/>
        </w:rPr>
        <w:t xml:space="preserve">V </w:t>
      </w:r>
      <w:r w:rsidR="006A4433" w:rsidRPr="006A4433">
        <w:rPr>
          <w:rFonts w:ascii="Arial" w:hAnsi="Arial" w:cs="Arial"/>
          <w:sz w:val="22"/>
        </w:rPr>
        <w:t xml:space="preserve">lokalitě bude provedeno prodloužení plynovodu P1 podél </w:t>
      </w:r>
      <w:r w:rsidR="00801751">
        <w:rPr>
          <w:rFonts w:ascii="Arial" w:hAnsi="Arial" w:cs="Arial"/>
          <w:sz w:val="22"/>
        </w:rPr>
        <w:t xml:space="preserve">navrhované komunikace pro </w:t>
      </w:r>
      <w:proofErr w:type="gramStart"/>
      <w:r w:rsidR="00801751">
        <w:rPr>
          <w:rFonts w:ascii="Arial" w:hAnsi="Arial" w:cs="Arial"/>
          <w:sz w:val="22"/>
        </w:rPr>
        <w:t>lokalitu .</w:t>
      </w:r>
      <w:proofErr w:type="gramEnd"/>
      <w:r w:rsidR="00801751">
        <w:rPr>
          <w:rFonts w:ascii="Arial" w:hAnsi="Arial" w:cs="Arial"/>
          <w:sz w:val="22"/>
        </w:rPr>
        <w:t xml:space="preserve"> </w:t>
      </w:r>
      <w:r w:rsidR="006A4433" w:rsidRPr="006A4433">
        <w:rPr>
          <w:rFonts w:ascii="Arial" w:hAnsi="Arial" w:cs="Arial"/>
          <w:sz w:val="22"/>
        </w:rPr>
        <w:t xml:space="preserve">Na tento plynovod budou napojeny nové </w:t>
      </w:r>
      <w:r w:rsidR="00801751">
        <w:rPr>
          <w:rFonts w:ascii="Arial" w:hAnsi="Arial" w:cs="Arial"/>
          <w:sz w:val="22"/>
        </w:rPr>
        <w:t>odbočky</w:t>
      </w:r>
      <w:r w:rsidR="006A4433" w:rsidRPr="006A4433">
        <w:rPr>
          <w:rFonts w:ascii="Arial" w:hAnsi="Arial" w:cs="Arial"/>
          <w:sz w:val="22"/>
        </w:rPr>
        <w:t xml:space="preserve"> pro zásobování rodinných domků v lokalitě.</w:t>
      </w:r>
    </w:p>
    <w:p w14:paraId="5AC96ACC" w14:textId="5F8B7E23" w:rsidR="00CF7668" w:rsidRDefault="006A4433" w:rsidP="006A4433">
      <w:pPr>
        <w:ind w:firstLine="360"/>
        <w:rPr>
          <w:rFonts w:ascii="Arial" w:hAnsi="Arial" w:cs="Arial"/>
          <w:sz w:val="22"/>
        </w:rPr>
      </w:pPr>
      <w:r w:rsidRPr="006A4433">
        <w:rPr>
          <w:rFonts w:ascii="Arial" w:hAnsi="Arial" w:cs="Arial"/>
          <w:sz w:val="22"/>
        </w:rPr>
        <w:t>Veřejný plynovod P1 STL DN63 s napojením na stávající plynovod STL rozvod PE63 v</w:t>
      </w:r>
      <w:r w:rsidR="00801751">
        <w:rPr>
          <w:rFonts w:ascii="Arial" w:hAnsi="Arial" w:cs="Arial"/>
          <w:sz w:val="22"/>
        </w:rPr>
        <w:t> pod školkou</w:t>
      </w:r>
      <w:r w:rsidRPr="006A4433">
        <w:rPr>
          <w:rFonts w:ascii="Arial" w:hAnsi="Arial" w:cs="Arial"/>
          <w:sz w:val="22"/>
        </w:rPr>
        <w:t xml:space="preserve">, kde je veden vedle komunikace. </w:t>
      </w:r>
    </w:p>
    <w:p w14:paraId="3A26CCE1" w14:textId="77777777" w:rsidR="006A4433" w:rsidRPr="00C96FB6" w:rsidRDefault="006A4433" w:rsidP="006A4433">
      <w:pPr>
        <w:ind w:firstLine="360"/>
        <w:rPr>
          <w:highlight w:val="yellow"/>
        </w:rPr>
      </w:pPr>
    </w:p>
    <w:p w14:paraId="7C130A91" w14:textId="77777777" w:rsidR="00CF7668" w:rsidRPr="009578EB" w:rsidRDefault="001F1463">
      <w:pPr>
        <w:pStyle w:val="Nadpis1"/>
        <w:ind w:left="-5"/>
      </w:pPr>
      <w:r w:rsidRPr="009578EB">
        <w:t>2. Vytýčení objektu</w:t>
      </w:r>
      <w:r w:rsidRPr="009578EB">
        <w:rPr>
          <w:b w:val="0"/>
          <w:sz w:val="37"/>
          <w:u w:val="none"/>
          <w:vertAlign w:val="subscript"/>
        </w:rPr>
        <w:t xml:space="preserve"> </w:t>
      </w:r>
    </w:p>
    <w:p w14:paraId="0189638D" w14:textId="77777777" w:rsidR="00CF7668" w:rsidRDefault="001F1463">
      <w:pPr>
        <w:ind w:left="-15" w:right="273" w:firstLine="427"/>
      </w:pPr>
      <w:r w:rsidRPr="009578EB">
        <w:t xml:space="preserve">Vytyčení stavby je dáno souřadnicemi charakteristických bodů v systému </w:t>
      </w:r>
      <w:proofErr w:type="gramStart"/>
      <w:r w:rsidRPr="009578EB">
        <w:t>JTSK ,</w:t>
      </w:r>
      <w:proofErr w:type="gramEnd"/>
      <w:r w:rsidRPr="009578EB">
        <w:t xml:space="preserve"> výška nivelety  podélného profiluje s výškami v systému </w:t>
      </w:r>
      <w:proofErr w:type="spellStart"/>
      <w:r w:rsidRPr="009578EB">
        <w:t>B.p.v</w:t>
      </w:r>
      <w:proofErr w:type="spellEnd"/>
      <w:r w:rsidRPr="009578EB">
        <w:t>.</w:t>
      </w:r>
      <w:r>
        <w:t xml:space="preserve">  </w:t>
      </w:r>
    </w:p>
    <w:p w14:paraId="0EBCC9E7" w14:textId="77777777" w:rsidR="00CF7668" w:rsidRDefault="001F1463">
      <w:pPr>
        <w:spacing w:after="14" w:line="259" w:lineRule="auto"/>
        <w:ind w:left="0" w:firstLine="0"/>
      </w:pPr>
      <w:r>
        <w:t xml:space="preserve"> </w:t>
      </w:r>
    </w:p>
    <w:p w14:paraId="7B9A66CD" w14:textId="77777777" w:rsidR="00CF7668" w:rsidRDefault="001F1463">
      <w:pPr>
        <w:pStyle w:val="Nadpis1"/>
        <w:ind w:left="-5"/>
      </w:pPr>
      <w:r>
        <w:t>3.  Geologické poměry, zemní práce</w:t>
      </w:r>
      <w:r>
        <w:rPr>
          <w:u w:val="none"/>
        </w:rPr>
        <w:t xml:space="preserve"> </w:t>
      </w:r>
    </w:p>
    <w:p w14:paraId="1A1BC57E" w14:textId="251290BB" w:rsidR="00763302" w:rsidRPr="00763302" w:rsidRDefault="001F1463" w:rsidP="001F528D">
      <w:pPr>
        <w:spacing w:after="23" w:line="259" w:lineRule="auto"/>
        <w:ind w:left="0" w:firstLine="0"/>
      </w:pPr>
      <w:r>
        <w:t xml:space="preserve"> </w:t>
      </w:r>
      <w:r w:rsidR="00763302" w:rsidRPr="00763302">
        <w:t>Zemní práce budou provedeny dle ČSN 73 6133. Šířka výkopu pro přípojku bude 0,8m hloubka výkopu min. 0,</w:t>
      </w:r>
      <w:r w:rsidR="00801751">
        <w:t>9</w:t>
      </w:r>
      <w:r w:rsidR="00763302" w:rsidRPr="00763302">
        <w:t>m, v komunikaci krytí min. 1,2m. Potrubí bude uloženo na pískové lože z kopaného písku frakce 0-16</w:t>
      </w:r>
      <w:proofErr w:type="gramStart"/>
      <w:r w:rsidR="00763302" w:rsidRPr="00763302">
        <w:t xml:space="preserve">mm,  </w:t>
      </w:r>
      <w:proofErr w:type="spellStart"/>
      <w:r w:rsidR="00763302" w:rsidRPr="00763302">
        <w:t>tl</w:t>
      </w:r>
      <w:proofErr w:type="spellEnd"/>
      <w:r w:rsidR="00763302" w:rsidRPr="00763302">
        <w:t>.</w:t>
      </w:r>
      <w:proofErr w:type="gramEnd"/>
      <w:r w:rsidR="00763302" w:rsidRPr="00763302">
        <w:t xml:space="preserve"> 10 cm. Dále bude potrubí opatřeno obsypem kopaným pískem </w:t>
      </w:r>
      <w:proofErr w:type="gramStart"/>
      <w:r w:rsidR="00763302" w:rsidRPr="00763302">
        <w:t>0-16mm</w:t>
      </w:r>
      <w:proofErr w:type="gramEnd"/>
      <w:r w:rsidR="00763302" w:rsidRPr="00763302">
        <w:t xml:space="preserve">, výšky 0,3 m nad vrchem potrubí (po zhutnění). Před obsypem nutno provést zaměření. Na potrubí </w:t>
      </w:r>
      <w:proofErr w:type="gramStart"/>
      <w:r w:rsidR="00763302" w:rsidRPr="00763302">
        <w:t>v  rýze</w:t>
      </w:r>
      <w:proofErr w:type="gramEnd"/>
      <w:r w:rsidR="00763302" w:rsidRPr="00763302">
        <w:t xml:space="preserve"> bude položena výstražná fólie žluté barvy.</w:t>
      </w:r>
    </w:p>
    <w:p w14:paraId="36743E14" w14:textId="77777777" w:rsidR="00763302" w:rsidRPr="00763302" w:rsidRDefault="00763302" w:rsidP="00763302">
      <w:pPr>
        <w:autoSpaceDE w:val="0"/>
        <w:autoSpaceDN w:val="0"/>
        <w:spacing w:after="0" w:line="240" w:lineRule="auto"/>
        <w:ind w:left="0"/>
        <w:jc w:val="both"/>
      </w:pPr>
      <w:r w:rsidRPr="00763302">
        <w:t xml:space="preserve">Před započetím zemních prací musí odpovědný pracovník dodavatele </w:t>
      </w:r>
      <w:proofErr w:type="gramStart"/>
      <w:r w:rsidRPr="00763302">
        <w:t>zajistiti</w:t>
      </w:r>
      <w:proofErr w:type="gramEnd"/>
      <w:r w:rsidRPr="00763302">
        <w:t xml:space="preserve"> vytýčení všech tras podzemních vedení přímo na terénu. Vytýčení musí být ověřeno potvrzeno provozovateli, toto zajistit je povinností investora. Případné obnažené potrubí kabely budou chráněny před poškozením </w:t>
      </w:r>
    </w:p>
    <w:p w14:paraId="247E4DCC" w14:textId="77777777" w:rsidR="00763302" w:rsidRPr="00763302" w:rsidRDefault="00763302" w:rsidP="00763302">
      <w:pPr>
        <w:autoSpaceDE w:val="0"/>
        <w:autoSpaceDN w:val="0"/>
        <w:spacing w:after="0" w:line="240" w:lineRule="auto"/>
        <w:ind w:left="0"/>
        <w:jc w:val="both"/>
      </w:pPr>
      <w:r w:rsidRPr="00763302">
        <w:t xml:space="preserve">Výkopy musí být řádně zakryty nebo okrajů zajištěny proti pádu do výkopu. Ve vzdálenosti nejméně 1,5 od hrany výkopu musí být použito zábrany to např. jednotyčové zábrany, nápadné překážky příp. materiálu výkopu. Výkopy zasahující do veřejné komunikace musí být označeny dopravní značkou, noci za snížené viditelnosti červeným světlem. </w:t>
      </w:r>
    </w:p>
    <w:p w14:paraId="1C7B5E5B" w14:textId="77777777" w:rsidR="00763302" w:rsidRPr="00763302" w:rsidRDefault="00763302" w:rsidP="00763302">
      <w:pPr>
        <w:autoSpaceDE w:val="0"/>
        <w:autoSpaceDN w:val="0"/>
        <w:spacing w:after="0" w:line="240" w:lineRule="auto"/>
        <w:ind w:left="0"/>
        <w:jc w:val="both"/>
      </w:pPr>
      <w:r w:rsidRPr="00763302">
        <w:t xml:space="preserve">Pažení ručně prováděných výkopů musí být instalováno od hloubky výkopu 1,3 </w:t>
      </w:r>
      <w:r w:rsidR="005A799A">
        <w:t xml:space="preserve">m v </w:t>
      </w:r>
      <w:r w:rsidRPr="00763302">
        <w:t>zastavěném území 1,5</w:t>
      </w:r>
      <w:r w:rsidR="005A799A">
        <w:t>m v</w:t>
      </w:r>
      <w:r w:rsidRPr="00763302">
        <w:t xml:space="preserve"> nezastavěném území. Při výkopu nesoudržných, podmáčených zeminách atd. musí být stěny zapaženy při menších výškách stěn výkopu.</w:t>
      </w:r>
    </w:p>
    <w:p w14:paraId="43DF9B54" w14:textId="77777777" w:rsidR="00CF7668" w:rsidRDefault="005A799A" w:rsidP="005A799A">
      <w:pPr>
        <w:ind w:left="0" w:right="273" w:firstLine="0"/>
      </w:pPr>
      <w:r>
        <w:t xml:space="preserve"> </w:t>
      </w:r>
      <w:r w:rsidR="001F1463">
        <w:t xml:space="preserve">Rýha bude provedena s kolmými stěnami opatřenými příložným pažením s rozepřením. Přebytečná zemina (vytlačená kubatura) bude odvážena na skládku v blízkosti stavby a bude použita pro následné terénní úpravy.  </w:t>
      </w:r>
    </w:p>
    <w:p w14:paraId="41817A81" w14:textId="77777777" w:rsidR="00CF7668" w:rsidRDefault="001F1463">
      <w:pPr>
        <w:ind w:left="-15" w:right="273" w:firstLine="427"/>
      </w:pPr>
      <w:r>
        <w:t xml:space="preserve">Před zahájením výkopových prací musí být veškerá podzemní vedení v prostoru stavby řádně vytyčena a vyznačena (viz ČSN 73 3050 – Zemní </w:t>
      </w:r>
      <w:proofErr w:type="gramStart"/>
      <w:r>
        <w:t>práce ,</w:t>
      </w:r>
      <w:proofErr w:type="gramEnd"/>
      <w:r>
        <w:t xml:space="preserve"> čl. 54, 55.), základní pokyny pro práci v blízkosti inženýrských sítí jsou obsaženy ve vyjádření správců těchto vedení. Podmínky jednotlivých správců budou dodrženy. Projektant doporučuje po vytýčení podzemních vedení provést, v případě křížení, ručně kopanou sondu a teprve po přesném zjištění podzemního vedení zahájit strojní výkop. Při narušení stávajícího vedení musí být neprodleně </w:t>
      </w:r>
      <w:proofErr w:type="spellStart"/>
      <w:r>
        <w:t>uvědoměn</w:t>
      </w:r>
      <w:proofErr w:type="spellEnd"/>
      <w:r>
        <w:t xml:space="preserve"> jeho provozovatel. Zvláště je potřeba věnovat zvýšenou pozornost vedení </w:t>
      </w:r>
      <w:r w:rsidR="00B8440C">
        <w:t>S</w:t>
      </w:r>
      <w:r>
        <w:t xml:space="preserve">TL a souvisejících sítí. </w:t>
      </w:r>
    </w:p>
    <w:p w14:paraId="1F45759E" w14:textId="77777777" w:rsidR="00CF7668" w:rsidRDefault="001F1463">
      <w:pPr>
        <w:spacing w:after="13" w:line="268" w:lineRule="auto"/>
        <w:ind w:left="170" w:right="273" w:firstLine="425"/>
        <w:jc w:val="both"/>
      </w:pPr>
      <w:r>
        <w:t xml:space="preserve">Při zemních pracích i při ukládání a </w:t>
      </w:r>
      <w:proofErr w:type="gramStart"/>
      <w:r>
        <w:t>zahrnování  potrubí</w:t>
      </w:r>
      <w:proofErr w:type="gramEnd"/>
      <w:r>
        <w:t xml:space="preserve"> je třeba bezpodmínečně zabránit dotyku pracovníků, strojů a zařízení s nadzemním elektrickým  vedením. Veškerá elektrická zařízení musí být při práci v jejich blízkosti mimo provoz! </w:t>
      </w:r>
    </w:p>
    <w:p w14:paraId="46BDDE34" w14:textId="77777777" w:rsidR="00CF7668" w:rsidRDefault="001F1463">
      <w:pPr>
        <w:ind w:left="170" w:right="273" w:firstLine="425"/>
      </w:pPr>
      <w:r>
        <w:t xml:space="preserve">Strojní výkopy nesmí být prováděny blíže než 3 m od vytýčeného místa podzemního vedení. Při narušení tohoto vedení musí být o tom ihned </w:t>
      </w:r>
      <w:proofErr w:type="spellStart"/>
      <w:r>
        <w:t>uvědoměn</w:t>
      </w:r>
      <w:proofErr w:type="spellEnd"/>
      <w:r>
        <w:t xml:space="preserve"> jeho provozovatel. </w:t>
      </w:r>
    </w:p>
    <w:p w14:paraId="7D024661" w14:textId="6E0C0BEA" w:rsidR="00CF7668" w:rsidRDefault="001F1463">
      <w:pPr>
        <w:spacing w:after="13" w:line="268" w:lineRule="auto"/>
        <w:ind w:left="-15" w:right="273" w:firstLine="427"/>
        <w:jc w:val="both"/>
      </w:pPr>
      <w:r>
        <w:t xml:space="preserve">Výkop bude prováděn strojně, v obtížných úsecích ručně.  V místech křížení inženýrských sítí (ochranných pásmech) a v nepřístupných místech bude výkop prováděn ručně. </w:t>
      </w:r>
    </w:p>
    <w:p w14:paraId="5F321348" w14:textId="77777777" w:rsidR="00970DEB" w:rsidRDefault="00970DEB">
      <w:pPr>
        <w:spacing w:after="13" w:line="268" w:lineRule="auto"/>
        <w:ind w:left="-15" w:right="273" w:firstLine="427"/>
        <w:jc w:val="both"/>
      </w:pPr>
    </w:p>
    <w:p w14:paraId="2E719D7E" w14:textId="43BC1406" w:rsidR="00CF7668" w:rsidRDefault="001F1463">
      <w:pPr>
        <w:pStyle w:val="Nadpis1"/>
        <w:ind w:left="-5"/>
        <w:rPr>
          <w:b w:val="0"/>
          <w:sz w:val="37"/>
          <w:u w:val="none"/>
          <w:vertAlign w:val="subscript"/>
        </w:rPr>
      </w:pPr>
      <w:r>
        <w:t>4.  Popis technického řešení</w:t>
      </w:r>
      <w:r>
        <w:rPr>
          <w:b w:val="0"/>
          <w:sz w:val="37"/>
          <w:u w:val="none"/>
          <w:vertAlign w:val="subscript"/>
        </w:rPr>
        <w:t xml:space="preserve"> </w:t>
      </w:r>
    </w:p>
    <w:p w14:paraId="5DA91C62" w14:textId="538A2560" w:rsidR="006A4433" w:rsidRPr="006A4433" w:rsidRDefault="006A4433" w:rsidP="006A4433">
      <w:pPr>
        <w:ind w:firstLine="360"/>
        <w:rPr>
          <w:rFonts w:ascii="Arial" w:hAnsi="Arial" w:cs="Arial"/>
          <w:sz w:val="22"/>
        </w:rPr>
      </w:pPr>
      <w:r w:rsidRPr="006A4433">
        <w:rPr>
          <w:rFonts w:ascii="Arial" w:hAnsi="Arial" w:cs="Arial"/>
          <w:sz w:val="22"/>
        </w:rPr>
        <w:t xml:space="preserve">lokalitě bude provedeno prodloužení plynovodu P1. Na tento plynovod budou napojeny </w:t>
      </w:r>
      <w:r w:rsidR="00801751">
        <w:rPr>
          <w:rFonts w:ascii="Arial" w:hAnsi="Arial" w:cs="Arial"/>
          <w:sz w:val="22"/>
        </w:rPr>
        <w:t>přípojky</w:t>
      </w:r>
      <w:r w:rsidRPr="006A4433">
        <w:rPr>
          <w:rFonts w:ascii="Arial" w:hAnsi="Arial" w:cs="Arial"/>
          <w:sz w:val="22"/>
        </w:rPr>
        <w:t xml:space="preserve"> pro zásobování rodinných domků v lokalitě.</w:t>
      </w:r>
    </w:p>
    <w:p w14:paraId="255B141A" w14:textId="469BA17B" w:rsidR="00970DEB" w:rsidRDefault="006A4433" w:rsidP="006A4433">
      <w:pPr>
        <w:ind w:firstLine="360"/>
        <w:rPr>
          <w:rFonts w:ascii="Arial" w:hAnsi="Arial" w:cs="Arial"/>
          <w:sz w:val="22"/>
        </w:rPr>
      </w:pPr>
      <w:r w:rsidRPr="006A4433">
        <w:rPr>
          <w:rFonts w:ascii="Arial" w:hAnsi="Arial" w:cs="Arial"/>
          <w:sz w:val="22"/>
        </w:rPr>
        <w:t>Veřejný plynovod P1 STL DN63 s napojením na stávající plynovod STL rozvod PE63 v</w:t>
      </w:r>
      <w:r w:rsidR="00801751">
        <w:rPr>
          <w:rFonts w:ascii="Arial" w:hAnsi="Arial" w:cs="Arial"/>
          <w:sz w:val="22"/>
        </w:rPr>
        <w:t> </w:t>
      </w:r>
      <w:r w:rsidRPr="006A4433">
        <w:rPr>
          <w:rFonts w:ascii="Arial" w:hAnsi="Arial" w:cs="Arial"/>
          <w:sz w:val="22"/>
        </w:rPr>
        <w:t>ulici</w:t>
      </w:r>
      <w:r w:rsidR="00801751">
        <w:rPr>
          <w:rFonts w:ascii="Arial" w:hAnsi="Arial" w:cs="Arial"/>
          <w:sz w:val="22"/>
        </w:rPr>
        <w:t xml:space="preserve"> pod školkou</w:t>
      </w:r>
      <w:r w:rsidRPr="006A4433">
        <w:rPr>
          <w:rFonts w:ascii="Arial" w:hAnsi="Arial" w:cs="Arial"/>
          <w:sz w:val="22"/>
        </w:rPr>
        <w:t xml:space="preserve">, kde je veden vedle komunikace. </w:t>
      </w:r>
    </w:p>
    <w:p w14:paraId="485A4396" w14:textId="2344ADFA" w:rsidR="001F528D" w:rsidRDefault="006A4433" w:rsidP="006A4433">
      <w:pPr>
        <w:ind w:firstLine="360"/>
        <w:rPr>
          <w:rFonts w:ascii="Arial" w:hAnsi="Arial" w:cs="Arial"/>
          <w:sz w:val="22"/>
        </w:rPr>
      </w:pPr>
      <w:r w:rsidRPr="006A4433">
        <w:rPr>
          <w:rFonts w:ascii="Arial" w:hAnsi="Arial" w:cs="Arial"/>
          <w:sz w:val="22"/>
        </w:rPr>
        <w:t xml:space="preserve">Přípojky budou D32 a u jednotlivých </w:t>
      </w:r>
      <w:r w:rsidR="00801751">
        <w:rPr>
          <w:rFonts w:ascii="Arial" w:hAnsi="Arial" w:cs="Arial"/>
          <w:sz w:val="22"/>
        </w:rPr>
        <w:t xml:space="preserve">pozemků </w:t>
      </w:r>
      <w:r w:rsidRPr="006A4433">
        <w:rPr>
          <w:rFonts w:ascii="Arial" w:hAnsi="Arial" w:cs="Arial"/>
          <w:sz w:val="22"/>
        </w:rPr>
        <w:t>budou ukončeny plynovou skříní.</w:t>
      </w:r>
    </w:p>
    <w:p w14:paraId="451DC8FA" w14:textId="77777777" w:rsidR="00970DEB" w:rsidRDefault="00970DEB" w:rsidP="006A4433">
      <w:pPr>
        <w:ind w:firstLine="360"/>
        <w:rPr>
          <w:rFonts w:ascii="Arial" w:hAnsi="Arial" w:cs="Arial"/>
          <w:sz w:val="22"/>
        </w:rPr>
      </w:pPr>
    </w:p>
    <w:tbl>
      <w:tblPr>
        <w:tblW w:w="8200" w:type="dxa"/>
        <w:tblCellMar>
          <w:left w:w="70" w:type="dxa"/>
          <w:right w:w="70" w:type="dxa"/>
        </w:tblCellMar>
        <w:tblLook w:val="04A0" w:firstRow="1" w:lastRow="0" w:firstColumn="1" w:lastColumn="0" w:noHBand="0" w:noVBand="1"/>
      </w:tblPr>
      <w:tblGrid>
        <w:gridCol w:w="1095"/>
        <w:gridCol w:w="825"/>
        <w:gridCol w:w="40"/>
        <w:gridCol w:w="1868"/>
        <w:gridCol w:w="612"/>
        <w:gridCol w:w="960"/>
        <w:gridCol w:w="900"/>
        <w:gridCol w:w="620"/>
        <w:gridCol w:w="1280"/>
      </w:tblGrid>
      <w:tr w:rsidR="00E67EE0" w:rsidRPr="00E67EE0" w14:paraId="2276B1D6" w14:textId="77777777" w:rsidTr="00D136A1">
        <w:trPr>
          <w:gridAfter w:val="3"/>
          <w:wAfter w:w="2800" w:type="dxa"/>
          <w:trHeight w:val="315"/>
        </w:trPr>
        <w:tc>
          <w:tcPr>
            <w:tcW w:w="1960" w:type="dxa"/>
            <w:gridSpan w:val="3"/>
            <w:tcBorders>
              <w:top w:val="nil"/>
              <w:left w:val="nil"/>
              <w:bottom w:val="nil"/>
              <w:right w:val="nil"/>
            </w:tcBorders>
            <w:shd w:val="clear" w:color="auto" w:fill="auto"/>
            <w:noWrap/>
            <w:vAlign w:val="center"/>
            <w:hideMark/>
          </w:tcPr>
          <w:p w14:paraId="27887B09" w14:textId="77777777" w:rsidR="00E67EE0" w:rsidRPr="00E67EE0" w:rsidRDefault="00E67EE0" w:rsidP="00E67EE0">
            <w:pPr>
              <w:spacing w:after="0" w:line="240" w:lineRule="auto"/>
              <w:ind w:left="0" w:firstLine="0"/>
              <w:rPr>
                <w:rFonts w:ascii="Calibri" w:hAnsi="Calibri" w:cs="Calibri"/>
                <w:b/>
                <w:bCs/>
                <w:szCs w:val="24"/>
              </w:rPr>
            </w:pPr>
            <w:r w:rsidRPr="00E67EE0">
              <w:rPr>
                <w:rFonts w:ascii="Calibri" w:hAnsi="Calibri" w:cs="Calibri"/>
                <w:b/>
                <w:bCs/>
                <w:szCs w:val="24"/>
              </w:rPr>
              <w:t>SO-04.</w:t>
            </w:r>
          </w:p>
        </w:tc>
        <w:tc>
          <w:tcPr>
            <w:tcW w:w="1868" w:type="dxa"/>
            <w:tcBorders>
              <w:top w:val="nil"/>
              <w:left w:val="nil"/>
              <w:bottom w:val="nil"/>
              <w:right w:val="nil"/>
            </w:tcBorders>
            <w:shd w:val="clear" w:color="auto" w:fill="auto"/>
            <w:noWrap/>
            <w:vAlign w:val="center"/>
            <w:hideMark/>
          </w:tcPr>
          <w:p w14:paraId="39E4CEC7" w14:textId="77777777" w:rsidR="00E67EE0" w:rsidRPr="00E67EE0" w:rsidRDefault="00E67EE0" w:rsidP="00E67EE0">
            <w:pPr>
              <w:spacing w:after="0" w:line="240" w:lineRule="auto"/>
              <w:ind w:left="0" w:firstLine="0"/>
              <w:rPr>
                <w:rFonts w:ascii="Calibri" w:hAnsi="Calibri" w:cs="Calibri"/>
                <w:b/>
                <w:bCs/>
                <w:szCs w:val="24"/>
              </w:rPr>
            </w:pPr>
            <w:r w:rsidRPr="00E67EE0">
              <w:rPr>
                <w:rFonts w:ascii="Calibri" w:hAnsi="Calibri" w:cs="Calibri"/>
                <w:b/>
                <w:bCs/>
                <w:szCs w:val="24"/>
              </w:rPr>
              <w:t>Plynovod</w:t>
            </w:r>
          </w:p>
        </w:tc>
        <w:tc>
          <w:tcPr>
            <w:tcW w:w="612" w:type="dxa"/>
            <w:tcBorders>
              <w:top w:val="nil"/>
              <w:left w:val="nil"/>
              <w:bottom w:val="nil"/>
              <w:right w:val="nil"/>
            </w:tcBorders>
            <w:shd w:val="clear" w:color="auto" w:fill="auto"/>
            <w:noWrap/>
            <w:vAlign w:val="center"/>
            <w:hideMark/>
          </w:tcPr>
          <w:p w14:paraId="19DD7F36" w14:textId="77777777" w:rsidR="00E67EE0" w:rsidRPr="00E67EE0" w:rsidRDefault="00E67EE0" w:rsidP="00E67EE0">
            <w:pPr>
              <w:spacing w:after="0" w:line="240" w:lineRule="auto"/>
              <w:ind w:left="0" w:firstLine="0"/>
              <w:rPr>
                <w:rFonts w:ascii="Calibri" w:hAnsi="Calibri" w:cs="Calibri"/>
                <w:b/>
                <w:bCs/>
                <w:szCs w:val="24"/>
              </w:rPr>
            </w:pPr>
          </w:p>
        </w:tc>
        <w:tc>
          <w:tcPr>
            <w:tcW w:w="960" w:type="dxa"/>
            <w:tcBorders>
              <w:top w:val="nil"/>
              <w:left w:val="nil"/>
              <w:bottom w:val="nil"/>
              <w:right w:val="nil"/>
            </w:tcBorders>
            <w:shd w:val="clear" w:color="auto" w:fill="auto"/>
            <w:vAlign w:val="center"/>
            <w:hideMark/>
          </w:tcPr>
          <w:p w14:paraId="61660911" w14:textId="77777777" w:rsidR="00E67EE0" w:rsidRPr="00E67EE0" w:rsidRDefault="00E67EE0" w:rsidP="00E67EE0">
            <w:pPr>
              <w:spacing w:after="0" w:line="240" w:lineRule="auto"/>
              <w:ind w:left="0" w:firstLine="0"/>
              <w:jc w:val="center"/>
              <w:rPr>
                <w:color w:val="auto"/>
                <w:sz w:val="20"/>
                <w:szCs w:val="20"/>
              </w:rPr>
            </w:pPr>
          </w:p>
        </w:tc>
      </w:tr>
      <w:tr w:rsidR="00E67EE0" w:rsidRPr="00E67EE0" w14:paraId="67E10031" w14:textId="77777777" w:rsidTr="00D136A1">
        <w:trPr>
          <w:gridAfter w:val="3"/>
          <w:wAfter w:w="2800" w:type="dxa"/>
          <w:trHeight w:val="315"/>
        </w:trPr>
        <w:tc>
          <w:tcPr>
            <w:tcW w:w="1960" w:type="dxa"/>
            <w:gridSpan w:val="3"/>
            <w:tcBorders>
              <w:top w:val="nil"/>
              <w:left w:val="nil"/>
              <w:bottom w:val="nil"/>
              <w:right w:val="nil"/>
            </w:tcBorders>
            <w:shd w:val="clear" w:color="auto" w:fill="auto"/>
            <w:noWrap/>
            <w:vAlign w:val="bottom"/>
            <w:hideMark/>
          </w:tcPr>
          <w:p w14:paraId="3E911E5B" w14:textId="77777777" w:rsidR="00E67EE0" w:rsidRPr="00E67EE0" w:rsidRDefault="00E67EE0" w:rsidP="00E67EE0">
            <w:pPr>
              <w:spacing w:after="0" w:line="240" w:lineRule="auto"/>
              <w:ind w:left="0" w:firstLine="0"/>
              <w:rPr>
                <w:color w:val="auto"/>
                <w:sz w:val="20"/>
                <w:szCs w:val="20"/>
              </w:rPr>
            </w:pPr>
          </w:p>
        </w:tc>
        <w:tc>
          <w:tcPr>
            <w:tcW w:w="1868" w:type="dxa"/>
            <w:tcBorders>
              <w:top w:val="nil"/>
              <w:left w:val="nil"/>
              <w:bottom w:val="nil"/>
              <w:right w:val="nil"/>
            </w:tcBorders>
            <w:shd w:val="clear" w:color="auto" w:fill="auto"/>
            <w:noWrap/>
            <w:vAlign w:val="bottom"/>
            <w:hideMark/>
          </w:tcPr>
          <w:p w14:paraId="60466B10" w14:textId="77777777" w:rsidR="00E67EE0" w:rsidRPr="00E67EE0" w:rsidRDefault="00E67EE0" w:rsidP="00E67EE0">
            <w:pPr>
              <w:spacing w:after="0" w:line="240" w:lineRule="auto"/>
              <w:ind w:left="0" w:firstLine="0"/>
              <w:rPr>
                <w:color w:val="auto"/>
                <w:sz w:val="20"/>
                <w:szCs w:val="20"/>
              </w:rPr>
            </w:pPr>
          </w:p>
        </w:tc>
        <w:tc>
          <w:tcPr>
            <w:tcW w:w="612" w:type="dxa"/>
            <w:tcBorders>
              <w:top w:val="nil"/>
              <w:left w:val="nil"/>
              <w:bottom w:val="nil"/>
              <w:right w:val="nil"/>
            </w:tcBorders>
            <w:shd w:val="clear" w:color="auto" w:fill="auto"/>
            <w:noWrap/>
            <w:vAlign w:val="center"/>
            <w:hideMark/>
          </w:tcPr>
          <w:p w14:paraId="08863522" w14:textId="77777777" w:rsidR="00E67EE0" w:rsidRPr="00E67EE0" w:rsidRDefault="00E67EE0" w:rsidP="00E67EE0">
            <w:pPr>
              <w:spacing w:after="0" w:line="240" w:lineRule="auto"/>
              <w:ind w:left="0" w:firstLine="0"/>
              <w:rPr>
                <w:color w:val="auto"/>
                <w:sz w:val="20"/>
                <w:szCs w:val="20"/>
              </w:rPr>
            </w:pPr>
          </w:p>
        </w:tc>
        <w:tc>
          <w:tcPr>
            <w:tcW w:w="960" w:type="dxa"/>
            <w:tcBorders>
              <w:top w:val="nil"/>
              <w:left w:val="nil"/>
              <w:bottom w:val="nil"/>
              <w:right w:val="nil"/>
            </w:tcBorders>
            <w:shd w:val="clear" w:color="auto" w:fill="auto"/>
            <w:vAlign w:val="center"/>
            <w:hideMark/>
          </w:tcPr>
          <w:p w14:paraId="1FB1178B" w14:textId="77777777" w:rsidR="00E67EE0" w:rsidRPr="00E67EE0" w:rsidRDefault="00E67EE0" w:rsidP="00E67EE0">
            <w:pPr>
              <w:spacing w:after="0" w:line="240" w:lineRule="auto"/>
              <w:ind w:left="0" w:firstLine="0"/>
              <w:jc w:val="center"/>
              <w:rPr>
                <w:color w:val="auto"/>
                <w:sz w:val="20"/>
                <w:szCs w:val="20"/>
              </w:rPr>
            </w:pPr>
          </w:p>
        </w:tc>
      </w:tr>
      <w:tr w:rsidR="00E67EE0" w:rsidRPr="00E67EE0" w14:paraId="7944DF08" w14:textId="77777777" w:rsidTr="00D136A1">
        <w:trPr>
          <w:gridAfter w:val="3"/>
          <w:wAfter w:w="2800" w:type="dxa"/>
          <w:trHeight w:val="315"/>
        </w:trPr>
        <w:tc>
          <w:tcPr>
            <w:tcW w:w="196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D149B1"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Řad</w:t>
            </w:r>
          </w:p>
        </w:tc>
        <w:tc>
          <w:tcPr>
            <w:tcW w:w="1868" w:type="dxa"/>
            <w:tcBorders>
              <w:top w:val="single" w:sz="8" w:space="0" w:color="auto"/>
              <w:left w:val="nil"/>
              <w:bottom w:val="single" w:sz="8" w:space="0" w:color="auto"/>
              <w:right w:val="single" w:sz="8" w:space="0" w:color="auto"/>
            </w:tcBorders>
            <w:shd w:val="clear" w:color="auto" w:fill="auto"/>
            <w:noWrap/>
            <w:vAlign w:val="center"/>
            <w:hideMark/>
          </w:tcPr>
          <w:p w14:paraId="2104E8BD"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materiál</w:t>
            </w:r>
          </w:p>
        </w:tc>
        <w:tc>
          <w:tcPr>
            <w:tcW w:w="612" w:type="dxa"/>
            <w:tcBorders>
              <w:top w:val="single" w:sz="8" w:space="0" w:color="auto"/>
              <w:left w:val="nil"/>
              <w:bottom w:val="single" w:sz="8" w:space="0" w:color="auto"/>
              <w:right w:val="single" w:sz="8" w:space="0" w:color="auto"/>
            </w:tcBorders>
            <w:shd w:val="clear" w:color="auto" w:fill="auto"/>
            <w:noWrap/>
            <w:vAlign w:val="center"/>
            <w:hideMark/>
          </w:tcPr>
          <w:p w14:paraId="5461618B" w14:textId="77777777" w:rsidR="00E67EE0" w:rsidRPr="00E67EE0" w:rsidRDefault="00E67EE0" w:rsidP="00E67EE0">
            <w:pPr>
              <w:spacing w:after="0" w:line="240" w:lineRule="auto"/>
              <w:ind w:left="0" w:firstLine="0"/>
              <w:jc w:val="center"/>
              <w:rPr>
                <w:rFonts w:ascii="Calibri" w:hAnsi="Calibri" w:cs="Calibri"/>
                <w:b/>
                <w:bCs/>
                <w:sz w:val="22"/>
              </w:rPr>
            </w:pPr>
            <w:r w:rsidRPr="00E67EE0">
              <w:rPr>
                <w:rFonts w:ascii="Calibri" w:hAnsi="Calibri" w:cs="Calibri"/>
                <w:b/>
                <w:bCs/>
                <w:sz w:val="22"/>
              </w:rPr>
              <w:t>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6E7E4E4"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délka</w:t>
            </w:r>
          </w:p>
        </w:tc>
      </w:tr>
      <w:tr w:rsidR="00E67EE0" w:rsidRPr="00E67EE0" w14:paraId="6DB6664D" w14:textId="77777777" w:rsidTr="00D136A1">
        <w:trPr>
          <w:gridAfter w:val="3"/>
          <w:wAfter w:w="2800" w:type="dxa"/>
          <w:trHeight w:val="300"/>
        </w:trPr>
        <w:tc>
          <w:tcPr>
            <w:tcW w:w="1960" w:type="dxa"/>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2D3ECC"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P1</w:t>
            </w:r>
          </w:p>
        </w:tc>
        <w:tc>
          <w:tcPr>
            <w:tcW w:w="1868" w:type="dxa"/>
            <w:tcBorders>
              <w:top w:val="single" w:sz="8" w:space="0" w:color="auto"/>
              <w:left w:val="nil"/>
              <w:bottom w:val="single" w:sz="4" w:space="0" w:color="auto"/>
              <w:right w:val="single" w:sz="4" w:space="0" w:color="auto"/>
            </w:tcBorders>
            <w:shd w:val="clear" w:color="auto" w:fill="auto"/>
            <w:noWrap/>
            <w:vAlign w:val="center"/>
            <w:hideMark/>
          </w:tcPr>
          <w:p w14:paraId="7CCF12EA" w14:textId="77777777" w:rsidR="00E67EE0" w:rsidRPr="00E67EE0" w:rsidRDefault="00E67EE0" w:rsidP="00E67EE0">
            <w:pPr>
              <w:spacing w:after="0" w:line="240" w:lineRule="auto"/>
              <w:ind w:left="0" w:firstLine="0"/>
              <w:rPr>
                <w:rFonts w:ascii="Calibri" w:hAnsi="Calibri" w:cs="Calibri"/>
                <w:sz w:val="22"/>
              </w:rPr>
            </w:pPr>
            <w:r w:rsidRPr="00E67EE0">
              <w:rPr>
                <w:rFonts w:ascii="Calibri" w:hAnsi="Calibri" w:cs="Calibri"/>
                <w:sz w:val="22"/>
              </w:rPr>
              <w:t>PE100 SDR11RC</w:t>
            </w:r>
          </w:p>
        </w:tc>
        <w:tc>
          <w:tcPr>
            <w:tcW w:w="612" w:type="dxa"/>
            <w:tcBorders>
              <w:top w:val="single" w:sz="8" w:space="0" w:color="auto"/>
              <w:left w:val="nil"/>
              <w:bottom w:val="single" w:sz="4" w:space="0" w:color="auto"/>
              <w:right w:val="single" w:sz="4" w:space="0" w:color="auto"/>
            </w:tcBorders>
            <w:shd w:val="clear" w:color="auto" w:fill="auto"/>
            <w:noWrap/>
            <w:vAlign w:val="center"/>
            <w:hideMark/>
          </w:tcPr>
          <w:p w14:paraId="2F15900C" w14:textId="77777777" w:rsidR="00E67EE0" w:rsidRPr="00E67EE0" w:rsidRDefault="00E67EE0" w:rsidP="00E67EE0">
            <w:pPr>
              <w:spacing w:after="0" w:line="240" w:lineRule="auto"/>
              <w:ind w:left="0" w:firstLine="0"/>
              <w:jc w:val="center"/>
              <w:rPr>
                <w:rFonts w:ascii="Calibri" w:hAnsi="Calibri" w:cs="Calibri"/>
                <w:sz w:val="22"/>
              </w:rPr>
            </w:pPr>
            <w:r w:rsidRPr="00E67EE0">
              <w:rPr>
                <w:rFonts w:ascii="Calibri" w:hAnsi="Calibri" w:cs="Calibri"/>
                <w:sz w:val="22"/>
              </w:rPr>
              <w:t>63</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943EBB5" w14:textId="46D30812" w:rsidR="00E67EE0" w:rsidRPr="00E67EE0" w:rsidRDefault="00D136A1" w:rsidP="00E67EE0">
            <w:pPr>
              <w:spacing w:after="0" w:line="240" w:lineRule="auto"/>
              <w:ind w:left="0" w:firstLine="0"/>
              <w:rPr>
                <w:rFonts w:ascii="Calibri" w:hAnsi="Calibri" w:cs="Calibri"/>
                <w:sz w:val="22"/>
              </w:rPr>
            </w:pPr>
            <w:r>
              <w:rPr>
                <w:rFonts w:ascii="Calibri" w:hAnsi="Calibri" w:cs="Calibri"/>
                <w:sz w:val="22"/>
              </w:rPr>
              <w:t>341</w:t>
            </w:r>
            <w:r w:rsidR="00970DEB">
              <w:rPr>
                <w:rFonts w:ascii="Calibri" w:hAnsi="Calibri" w:cs="Calibri"/>
                <w:sz w:val="22"/>
              </w:rPr>
              <w:t>,</w:t>
            </w:r>
            <w:r>
              <w:rPr>
                <w:rFonts w:ascii="Calibri" w:hAnsi="Calibri" w:cs="Calibri"/>
                <w:sz w:val="22"/>
              </w:rPr>
              <w:t>3</w:t>
            </w:r>
            <w:r w:rsidR="00E67EE0" w:rsidRPr="00E67EE0">
              <w:rPr>
                <w:rFonts w:ascii="Calibri" w:hAnsi="Calibri" w:cs="Calibri"/>
                <w:sz w:val="22"/>
              </w:rPr>
              <w:t>m</w:t>
            </w:r>
          </w:p>
        </w:tc>
      </w:tr>
      <w:tr w:rsidR="00E67EE0" w:rsidRPr="00E67EE0" w14:paraId="20CD1169" w14:textId="77777777" w:rsidTr="00D136A1">
        <w:trPr>
          <w:gridAfter w:val="3"/>
          <w:wAfter w:w="2800" w:type="dxa"/>
          <w:trHeight w:val="300"/>
        </w:trPr>
        <w:tc>
          <w:tcPr>
            <w:tcW w:w="1960" w:type="dxa"/>
            <w:gridSpan w:val="3"/>
            <w:tcBorders>
              <w:top w:val="single" w:sz="4" w:space="0" w:color="auto"/>
              <w:left w:val="nil"/>
              <w:bottom w:val="nil"/>
              <w:right w:val="nil"/>
            </w:tcBorders>
            <w:shd w:val="clear" w:color="auto" w:fill="auto"/>
            <w:noWrap/>
            <w:vAlign w:val="center"/>
            <w:hideMark/>
          </w:tcPr>
          <w:p w14:paraId="362485C0" w14:textId="77777777" w:rsidR="00E67EE0" w:rsidRPr="00E67EE0" w:rsidRDefault="00E67EE0" w:rsidP="00E67EE0">
            <w:pPr>
              <w:spacing w:after="0" w:line="240" w:lineRule="auto"/>
              <w:ind w:left="0" w:firstLine="0"/>
              <w:rPr>
                <w:rFonts w:ascii="Calibri" w:hAnsi="Calibri" w:cs="Calibri"/>
                <w:sz w:val="22"/>
              </w:rPr>
            </w:pPr>
          </w:p>
        </w:tc>
        <w:tc>
          <w:tcPr>
            <w:tcW w:w="1868" w:type="dxa"/>
            <w:tcBorders>
              <w:top w:val="single" w:sz="4" w:space="0" w:color="auto"/>
              <w:left w:val="nil"/>
              <w:bottom w:val="nil"/>
              <w:right w:val="nil"/>
            </w:tcBorders>
            <w:shd w:val="clear" w:color="auto" w:fill="auto"/>
            <w:noWrap/>
            <w:vAlign w:val="center"/>
            <w:hideMark/>
          </w:tcPr>
          <w:p w14:paraId="322BD70A" w14:textId="77777777" w:rsidR="00E67EE0" w:rsidRPr="00E67EE0" w:rsidRDefault="00E67EE0" w:rsidP="00E67EE0">
            <w:pPr>
              <w:spacing w:after="0" w:line="240" w:lineRule="auto"/>
              <w:ind w:left="0" w:firstLine="0"/>
              <w:rPr>
                <w:color w:val="auto"/>
                <w:sz w:val="20"/>
                <w:szCs w:val="20"/>
              </w:rPr>
            </w:pPr>
          </w:p>
        </w:tc>
        <w:tc>
          <w:tcPr>
            <w:tcW w:w="612" w:type="dxa"/>
            <w:tcBorders>
              <w:top w:val="single" w:sz="4" w:space="0" w:color="auto"/>
              <w:left w:val="nil"/>
              <w:bottom w:val="nil"/>
              <w:right w:val="nil"/>
            </w:tcBorders>
            <w:shd w:val="clear" w:color="auto" w:fill="auto"/>
            <w:noWrap/>
            <w:vAlign w:val="center"/>
            <w:hideMark/>
          </w:tcPr>
          <w:p w14:paraId="56E56EA0" w14:textId="77777777" w:rsidR="00E67EE0" w:rsidRPr="00E67EE0" w:rsidRDefault="00E67EE0" w:rsidP="00E67EE0">
            <w:pPr>
              <w:spacing w:after="0" w:line="240" w:lineRule="auto"/>
              <w:ind w:left="0" w:firstLine="0"/>
              <w:jc w:val="center"/>
              <w:rPr>
                <w:rFonts w:ascii="Calibri" w:hAnsi="Calibri" w:cs="Calibri"/>
                <w:sz w:val="22"/>
              </w:rPr>
            </w:pPr>
            <w:r w:rsidRPr="00E67EE0">
              <w:rPr>
                <w:rFonts w:ascii="Calibri" w:hAnsi="Calibri" w:cs="Calibri"/>
                <w:sz w:val="22"/>
              </w:rPr>
              <w:t>∑</w:t>
            </w:r>
          </w:p>
        </w:tc>
        <w:tc>
          <w:tcPr>
            <w:tcW w:w="960" w:type="dxa"/>
            <w:tcBorders>
              <w:top w:val="single" w:sz="4" w:space="0" w:color="auto"/>
              <w:left w:val="nil"/>
              <w:bottom w:val="nil"/>
              <w:right w:val="nil"/>
            </w:tcBorders>
            <w:shd w:val="clear" w:color="auto" w:fill="auto"/>
            <w:vAlign w:val="center"/>
            <w:hideMark/>
          </w:tcPr>
          <w:p w14:paraId="3AD1E1B8" w14:textId="5729838F" w:rsidR="00E67EE0" w:rsidRPr="00E67EE0" w:rsidRDefault="00D136A1" w:rsidP="00E67EE0">
            <w:pPr>
              <w:spacing w:after="0" w:line="240" w:lineRule="auto"/>
              <w:ind w:left="0" w:firstLine="0"/>
              <w:rPr>
                <w:rFonts w:ascii="Calibri" w:hAnsi="Calibri" w:cs="Calibri"/>
                <w:sz w:val="22"/>
              </w:rPr>
            </w:pPr>
            <w:r>
              <w:rPr>
                <w:rFonts w:ascii="Calibri" w:hAnsi="Calibri" w:cs="Calibri"/>
                <w:sz w:val="22"/>
              </w:rPr>
              <w:t>341</w:t>
            </w:r>
            <w:r w:rsidR="00E67EE0" w:rsidRPr="00E67EE0">
              <w:rPr>
                <w:rFonts w:ascii="Calibri" w:hAnsi="Calibri" w:cs="Calibri"/>
                <w:sz w:val="22"/>
              </w:rPr>
              <w:t>,</w:t>
            </w:r>
            <w:r>
              <w:rPr>
                <w:rFonts w:ascii="Calibri" w:hAnsi="Calibri" w:cs="Calibri"/>
                <w:sz w:val="22"/>
              </w:rPr>
              <w:t>3</w:t>
            </w:r>
            <w:r w:rsidR="00E67EE0" w:rsidRPr="00E67EE0">
              <w:rPr>
                <w:rFonts w:ascii="Calibri" w:hAnsi="Calibri" w:cs="Calibri"/>
                <w:sz w:val="22"/>
              </w:rPr>
              <w:t>0m</w:t>
            </w:r>
          </w:p>
        </w:tc>
      </w:tr>
      <w:tr w:rsidR="00970DEB" w:rsidRPr="00E67EE0" w14:paraId="754467A4" w14:textId="77777777" w:rsidTr="00D136A1">
        <w:trPr>
          <w:gridAfter w:val="3"/>
          <w:wAfter w:w="2800" w:type="dxa"/>
          <w:trHeight w:val="300"/>
        </w:trPr>
        <w:tc>
          <w:tcPr>
            <w:tcW w:w="1960" w:type="dxa"/>
            <w:gridSpan w:val="3"/>
            <w:tcBorders>
              <w:top w:val="nil"/>
              <w:left w:val="nil"/>
              <w:bottom w:val="nil"/>
              <w:right w:val="nil"/>
            </w:tcBorders>
            <w:shd w:val="clear" w:color="auto" w:fill="auto"/>
            <w:noWrap/>
            <w:vAlign w:val="center"/>
          </w:tcPr>
          <w:p w14:paraId="29CD9837" w14:textId="77777777" w:rsidR="00970DEB" w:rsidRPr="00E67EE0" w:rsidRDefault="00970DEB" w:rsidP="00E67EE0">
            <w:pPr>
              <w:spacing w:after="0" w:line="240" w:lineRule="auto"/>
              <w:ind w:left="0" w:firstLine="0"/>
              <w:rPr>
                <w:rFonts w:ascii="Calibri" w:hAnsi="Calibri" w:cs="Calibri"/>
                <w:sz w:val="22"/>
              </w:rPr>
            </w:pPr>
          </w:p>
        </w:tc>
        <w:tc>
          <w:tcPr>
            <w:tcW w:w="1868" w:type="dxa"/>
            <w:tcBorders>
              <w:top w:val="nil"/>
              <w:left w:val="nil"/>
              <w:bottom w:val="nil"/>
              <w:right w:val="nil"/>
            </w:tcBorders>
            <w:shd w:val="clear" w:color="auto" w:fill="auto"/>
            <w:noWrap/>
            <w:vAlign w:val="center"/>
          </w:tcPr>
          <w:p w14:paraId="4F5548C7" w14:textId="77777777" w:rsidR="00970DEB" w:rsidRPr="00E67EE0" w:rsidRDefault="00970DEB" w:rsidP="00E67EE0">
            <w:pPr>
              <w:spacing w:after="0" w:line="240" w:lineRule="auto"/>
              <w:ind w:left="0" w:firstLine="0"/>
              <w:rPr>
                <w:color w:val="auto"/>
                <w:sz w:val="20"/>
                <w:szCs w:val="20"/>
              </w:rPr>
            </w:pPr>
          </w:p>
        </w:tc>
        <w:tc>
          <w:tcPr>
            <w:tcW w:w="612" w:type="dxa"/>
            <w:tcBorders>
              <w:top w:val="nil"/>
              <w:left w:val="nil"/>
              <w:bottom w:val="nil"/>
              <w:right w:val="nil"/>
            </w:tcBorders>
            <w:shd w:val="clear" w:color="auto" w:fill="auto"/>
            <w:noWrap/>
            <w:vAlign w:val="center"/>
          </w:tcPr>
          <w:p w14:paraId="15D5C91F" w14:textId="77777777" w:rsidR="00970DEB" w:rsidRPr="00E67EE0" w:rsidRDefault="00970DEB" w:rsidP="00E67EE0">
            <w:pPr>
              <w:spacing w:after="0" w:line="240" w:lineRule="auto"/>
              <w:ind w:left="0" w:firstLine="0"/>
              <w:jc w:val="center"/>
              <w:rPr>
                <w:rFonts w:ascii="Calibri" w:hAnsi="Calibri" w:cs="Calibri"/>
                <w:sz w:val="22"/>
              </w:rPr>
            </w:pPr>
          </w:p>
        </w:tc>
        <w:tc>
          <w:tcPr>
            <w:tcW w:w="960" w:type="dxa"/>
            <w:tcBorders>
              <w:top w:val="nil"/>
              <w:left w:val="nil"/>
              <w:bottom w:val="nil"/>
              <w:right w:val="nil"/>
            </w:tcBorders>
            <w:shd w:val="clear" w:color="auto" w:fill="auto"/>
            <w:vAlign w:val="center"/>
          </w:tcPr>
          <w:p w14:paraId="45916109" w14:textId="77777777" w:rsidR="00970DEB" w:rsidRPr="00E67EE0" w:rsidRDefault="00970DEB" w:rsidP="00E67EE0">
            <w:pPr>
              <w:spacing w:after="0" w:line="240" w:lineRule="auto"/>
              <w:ind w:left="0" w:firstLine="0"/>
              <w:rPr>
                <w:rFonts w:ascii="Calibri" w:hAnsi="Calibri" w:cs="Calibri"/>
                <w:sz w:val="22"/>
              </w:rPr>
            </w:pPr>
          </w:p>
        </w:tc>
      </w:tr>
      <w:tr w:rsidR="00E67EE0" w:rsidRPr="00E67EE0" w14:paraId="5A8D5DCA" w14:textId="77777777" w:rsidTr="00D136A1">
        <w:trPr>
          <w:gridAfter w:val="3"/>
          <w:wAfter w:w="2800" w:type="dxa"/>
          <w:trHeight w:val="315"/>
        </w:trPr>
        <w:tc>
          <w:tcPr>
            <w:tcW w:w="196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0E0CA"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Odbočky</w:t>
            </w:r>
          </w:p>
        </w:tc>
        <w:tc>
          <w:tcPr>
            <w:tcW w:w="1868" w:type="dxa"/>
            <w:tcBorders>
              <w:top w:val="single" w:sz="8" w:space="0" w:color="auto"/>
              <w:left w:val="nil"/>
              <w:bottom w:val="single" w:sz="8" w:space="0" w:color="auto"/>
              <w:right w:val="single" w:sz="8" w:space="0" w:color="auto"/>
            </w:tcBorders>
            <w:shd w:val="clear" w:color="auto" w:fill="auto"/>
            <w:noWrap/>
            <w:vAlign w:val="center"/>
            <w:hideMark/>
          </w:tcPr>
          <w:p w14:paraId="7E5C928D"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materiál</w:t>
            </w:r>
          </w:p>
        </w:tc>
        <w:tc>
          <w:tcPr>
            <w:tcW w:w="612" w:type="dxa"/>
            <w:tcBorders>
              <w:top w:val="single" w:sz="8" w:space="0" w:color="auto"/>
              <w:left w:val="nil"/>
              <w:bottom w:val="single" w:sz="8" w:space="0" w:color="auto"/>
              <w:right w:val="single" w:sz="8" w:space="0" w:color="auto"/>
            </w:tcBorders>
            <w:shd w:val="clear" w:color="auto" w:fill="auto"/>
            <w:noWrap/>
            <w:vAlign w:val="center"/>
            <w:hideMark/>
          </w:tcPr>
          <w:p w14:paraId="406F1E17" w14:textId="77777777" w:rsidR="00E67EE0" w:rsidRPr="00E67EE0" w:rsidRDefault="00E67EE0" w:rsidP="00E67EE0">
            <w:pPr>
              <w:spacing w:after="0" w:line="240" w:lineRule="auto"/>
              <w:ind w:left="0" w:firstLine="0"/>
              <w:jc w:val="center"/>
              <w:rPr>
                <w:rFonts w:ascii="Calibri" w:hAnsi="Calibri" w:cs="Calibri"/>
                <w:b/>
                <w:bCs/>
                <w:sz w:val="22"/>
              </w:rPr>
            </w:pPr>
            <w:r w:rsidRPr="00E67EE0">
              <w:rPr>
                <w:rFonts w:ascii="Calibri" w:hAnsi="Calibri" w:cs="Calibri"/>
                <w:b/>
                <w:bCs/>
                <w:sz w:val="22"/>
              </w:rPr>
              <w:t>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1E21D5E" w14:textId="77777777"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délka</w:t>
            </w:r>
          </w:p>
        </w:tc>
      </w:tr>
      <w:tr w:rsidR="00E67EE0" w:rsidRPr="00E67EE0" w14:paraId="49EE7C54" w14:textId="77777777" w:rsidTr="00D136A1">
        <w:trPr>
          <w:gridAfter w:val="3"/>
          <w:wAfter w:w="2800" w:type="dxa"/>
          <w:trHeight w:val="315"/>
        </w:trPr>
        <w:tc>
          <w:tcPr>
            <w:tcW w:w="1960" w:type="dxa"/>
            <w:gridSpan w:val="3"/>
            <w:tcBorders>
              <w:top w:val="nil"/>
              <w:left w:val="single" w:sz="8" w:space="0" w:color="auto"/>
              <w:bottom w:val="single" w:sz="8" w:space="0" w:color="auto"/>
              <w:right w:val="single" w:sz="8" w:space="0" w:color="auto"/>
            </w:tcBorders>
            <w:shd w:val="clear" w:color="auto" w:fill="auto"/>
            <w:noWrap/>
            <w:vAlign w:val="center"/>
            <w:hideMark/>
          </w:tcPr>
          <w:p w14:paraId="7C53E287" w14:textId="0F25A8DF" w:rsidR="00E67EE0" w:rsidRPr="00E67EE0" w:rsidRDefault="00E67EE0" w:rsidP="00E67EE0">
            <w:pPr>
              <w:spacing w:after="0" w:line="240" w:lineRule="auto"/>
              <w:ind w:left="0" w:firstLine="0"/>
              <w:rPr>
                <w:rFonts w:ascii="Calibri" w:hAnsi="Calibri" w:cs="Calibri"/>
                <w:b/>
                <w:bCs/>
                <w:sz w:val="22"/>
              </w:rPr>
            </w:pPr>
            <w:r w:rsidRPr="00E67EE0">
              <w:rPr>
                <w:rFonts w:ascii="Calibri" w:hAnsi="Calibri" w:cs="Calibri"/>
                <w:b/>
                <w:bCs/>
                <w:sz w:val="22"/>
              </w:rPr>
              <w:t xml:space="preserve">P1 </w:t>
            </w:r>
            <w:r w:rsidR="00D136A1">
              <w:rPr>
                <w:rFonts w:ascii="Calibri" w:hAnsi="Calibri" w:cs="Calibri"/>
                <w:b/>
                <w:bCs/>
                <w:sz w:val="22"/>
              </w:rPr>
              <w:t>–</w:t>
            </w:r>
            <w:r w:rsidRPr="00E67EE0">
              <w:rPr>
                <w:rFonts w:ascii="Calibri" w:hAnsi="Calibri" w:cs="Calibri"/>
                <w:b/>
                <w:bCs/>
                <w:sz w:val="22"/>
              </w:rPr>
              <w:t xml:space="preserve"> P</w:t>
            </w:r>
            <w:r w:rsidR="00D136A1">
              <w:rPr>
                <w:rFonts w:ascii="Calibri" w:hAnsi="Calibri" w:cs="Calibri"/>
                <w:b/>
                <w:bCs/>
                <w:sz w:val="22"/>
              </w:rPr>
              <w:t>9</w:t>
            </w:r>
            <w:r w:rsidRPr="00E67EE0">
              <w:rPr>
                <w:rFonts w:ascii="Calibri" w:hAnsi="Calibri" w:cs="Calibri"/>
                <w:b/>
                <w:bCs/>
                <w:sz w:val="22"/>
              </w:rPr>
              <w:t xml:space="preserve">, </w:t>
            </w:r>
          </w:p>
        </w:tc>
        <w:tc>
          <w:tcPr>
            <w:tcW w:w="1868" w:type="dxa"/>
            <w:tcBorders>
              <w:top w:val="nil"/>
              <w:left w:val="nil"/>
              <w:bottom w:val="single" w:sz="8" w:space="0" w:color="auto"/>
              <w:right w:val="single" w:sz="8" w:space="0" w:color="auto"/>
            </w:tcBorders>
            <w:shd w:val="clear" w:color="auto" w:fill="auto"/>
            <w:noWrap/>
            <w:vAlign w:val="center"/>
            <w:hideMark/>
          </w:tcPr>
          <w:p w14:paraId="39264536" w14:textId="77777777" w:rsidR="00E67EE0" w:rsidRPr="00E67EE0" w:rsidRDefault="00E67EE0" w:rsidP="00E67EE0">
            <w:pPr>
              <w:spacing w:after="0" w:line="240" w:lineRule="auto"/>
              <w:ind w:left="0" w:firstLine="0"/>
              <w:rPr>
                <w:rFonts w:ascii="Calibri" w:hAnsi="Calibri" w:cs="Calibri"/>
                <w:sz w:val="22"/>
              </w:rPr>
            </w:pPr>
            <w:r w:rsidRPr="00E67EE0">
              <w:rPr>
                <w:rFonts w:ascii="Calibri" w:hAnsi="Calibri" w:cs="Calibri"/>
                <w:sz w:val="22"/>
              </w:rPr>
              <w:t>PE100 SDR11RC</w:t>
            </w:r>
          </w:p>
        </w:tc>
        <w:tc>
          <w:tcPr>
            <w:tcW w:w="612" w:type="dxa"/>
            <w:tcBorders>
              <w:top w:val="nil"/>
              <w:left w:val="nil"/>
              <w:bottom w:val="single" w:sz="8" w:space="0" w:color="auto"/>
              <w:right w:val="single" w:sz="8" w:space="0" w:color="auto"/>
            </w:tcBorders>
            <w:shd w:val="clear" w:color="auto" w:fill="auto"/>
            <w:noWrap/>
            <w:vAlign w:val="center"/>
            <w:hideMark/>
          </w:tcPr>
          <w:p w14:paraId="0C39FF50" w14:textId="77777777" w:rsidR="00E67EE0" w:rsidRPr="00E67EE0" w:rsidRDefault="00E67EE0" w:rsidP="00E67EE0">
            <w:pPr>
              <w:spacing w:after="0" w:line="240" w:lineRule="auto"/>
              <w:ind w:left="0" w:firstLine="0"/>
              <w:jc w:val="center"/>
              <w:rPr>
                <w:rFonts w:ascii="Calibri" w:hAnsi="Calibri" w:cs="Calibri"/>
                <w:sz w:val="22"/>
              </w:rPr>
            </w:pPr>
            <w:r w:rsidRPr="00E67EE0">
              <w:rPr>
                <w:rFonts w:ascii="Calibri" w:hAnsi="Calibri" w:cs="Calibri"/>
                <w:sz w:val="22"/>
              </w:rPr>
              <w:t>32</w:t>
            </w:r>
          </w:p>
        </w:tc>
        <w:tc>
          <w:tcPr>
            <w:tcW w:w="960" w:type="dxa"/>
            <w:tcBorders>
              <w:top w:val="nil"/>
              <w:left w:val="nil"/>
              <w:bottom w:val="single" w:sz="8" w:space="0" w:color="auto"/>
              <w:right w:val="single" w:sz="8" w:space="0" w:color="auto"/>
            </w:tcBorders>
            <w:shd w:val="clear" w:color="auto" w:fill="auto"/>
            <w:vAlign w:val="center"/>
            <w:hideMark/>
          </w:tcPr>
          <w:p w14:paraId="2804599C" w14:textId="441068F7" w:rsidR="00E67EE0" w:rsidRPr="00E67EE0" w:rsidRDefault="00E67EE0" w:rsidP="00E67EE0">
            <w:pPr>
              <w:spacing w:after="0" w:line="240" w:lineRule="auto"/>
              <w:ind w:left="0" w:firstLine="0"/>
              <w:jc w:val="center"/>
              <w:rPr>
                <w:rFonts w:ascii="Calibri" w:hAnsi="Calibri" w:cs="Calibri"/>
                <w:sz w:val="22"/>
              </w:rPr>
            </w:pPr>
            <w:r w:rsidRPr="00E67EE0">
              <w:rPr>
                <w:rFonts w:ascii="Calibri" w:hAnsi="Calibri" w:cs="Calibri"/>
                <w:sz w:val="22"/>
              </w:rPr>
              <w:t>6</w:t>
            </w:r>
            <w:r w:rsidR="00D136A1">
              <w:rPr>
                <w:rFonts w:ascii="Calibri" w:hAnsi="Calibri" w:cs="Calibri"/>
                <w:sz w:val="22"/>
              </w:rPr>
              <w:t>3</w:t>
            </w:r>
            <w:r w:rsidRPr="00E67EE0">
              <w:rPr>
                <w:rFonts w:ascii="Calibri" w:hAnsi="Calibri" w:cs="Calibri"/>
                <w:sz w:val="22"/>
              </w:rPr>
              <w:t>,</w:t>
            </w:r>
            <w:r w:rsidR="00D136A1">
              <w:rPr>
                <w:rFonts w:ascii="Calibri" w:hAnsi="Calibri" w:cs="Calibri"/>
                <w:sz w:val="22"/>
              </w:rPr>
              <w:t>5</w:t>
            </w:r>
            <w:r w:rsidRPr="00E67EE0">
              <w:rPr>
                <w:rFonts w:ascii="Calibri" w:hAnsi="Calibri" w:cs="Calibri"/>
                <w:sz w:val="22"/>
              </w:rPr>
              <w:t>m</w:t>
            </w:r>
          </w:p>
        </w:tc>
      </w:tr>
      <w:tr w:rsidR="00970DEB" w:rsidRPr="00E67EE0" w14:paraId="2C581D8D" w14:textId="77777777" w:rsidTr="00D136A1">
        <w:trPr>
          <w:gridAfter w:val="3"/>
          <w:wAfter w:w="2800" w:type="dxa"/>
          <w:trHeight w:val="300"/>
        </w:trPr>
        <w:tc>
          <w:tcPr>
            <w:tcW w:w="1960" w:type="dxa"/>
            <w:gridSpan w:val="3"/>
            <w:tcBorders>
              <w:top w:val="nil"/>
              <w:left w:val="nil"/>
              <w:bottom w:val="nil"/>
              <w:right w:val="nil"/>
            </w:tcBorders>
            <w:shd w:val="clear" w:color="auto" w:fill="auto"/>
            <w:noWrap/>
            <w:vAlign w:val="bottom"/>
          </w:tcPr>
          <w:p w14:paraId="0D3D16B4" w14:textId="77777777" w:rsidR="00970DEB" w:rsidRPr="00E67EE0" w:rsidRDefault="00970DEB" w:rsidP="00E67EE0">
            <w:pPr>
              <w:spacing w:after="0" w:line="240" w:lineRule="auto"/>
              <w:ind w:left="0" w:firstLine="0"/>
              <w:jc w:val="center"/>
              <w:rPr>
                <w:rFonts w:ascii="Calibri" w:hAnsi="Calibri" w:cs="Calibri"/>
                <w:sz w:val="22"/>
              </w:rPr>
            </w:pPr>
          </w:p>
        </w:tc>
        <w:tc>
          <w:tcPr>
            <w:tcW w:w="1868" w:type="dxa"/>
            <w:tcBorders>
              <w:top w:val="nil"/>
              <w:left w:val="nil"/>
              <w:bottom w:val="nil"/>
              <w:right w:val="nil"/>
            </w:tcBorders>
            <w:shd w:val="clear" w:color="auto" w:fill="auto"/>
            <w:noWrap/>
            <w:vAlign w:val="bottom"/>
          </w:tcPr>
          <w:p w14:paraId="7B9CC0E4" w14:textId="77777777" w:rsidR="00970DEB" w:rsidRPr="00E67EE0" w:rsidRDefault="00970DEB" w:rsidP="00E67EE0">
            <w:pPr>
              <w:spacing w:after="0" w:line="240" w:lineRule="auto"/>
              <w:ind w:left="0" w:firstLine="0"/>
              <w:rPr>
                <w:color w:val="auto"/>
                <w:sz w:val="20"/>
                <w:szCs w:val="20"/>
              </w:rPr>
            </w:pPr>
          </w:p>
        </w:tc>
        <w:tc>
          <w:tcPr>
            <w:tcW w:w="612" w:type="dxa"/>
            <w:tcBorders>
              <w:top w:val="nil"/>
              <w:left w:val="nil"/>
              <w:bottom w:val="nil"/>
              <w:right w:val="nil"/>
            </w:tcBorders>
            <w:shd w:val="clear" w:color="auto" w:fill="auto"/>
            <w:noWrap/>
            <w:vAlign w:val="center"/>
          </w:tcPr>
          <w:p w14:paraId="47A0F24C" w14:textId="77777777" w:rsidR="00970DEB" w:rsidRPr="00E67EE0" w:rsidRDefault="00970DEB" w:rsidP="00E67EE0">
            <w:pPr>
              <w:spacing w:after="0" w:line="240" w:lineRule="auto"/>
              <w:ind w:left="0" w:firstLine="0"/>
              <w:jc w:val="center"/>
              <w:rPr>
                <w:rFonts w:ascii="Calibri" w:hAnsi="Calibri" w:cs="Calibri"/>
                <w:sz w:val="22"/>
              </w:rPr>
            </w:pPr>
          </w:p>
        </w:tc>
        <w:tc>
          <w:tcPr>
            <w:tcW w:w="960" w:type="dxa"/>
            <w:tcBorders>
              <w:top w:val="nil"/>
              <w:left w:val="nil"/>
              <w:bottom w:val="nil"/>
              <w:right w:val="nil"/>
            </w:tcBorders>
            <w:shd w:val="clear" w:color="auto" w:fill="auto"/>
            <w:vAlign w:val="center"/>
          </w:tcPr>
          <w:p w14:paraId="047C370A" w14:textId="77777777" w:rsidR="00970DEB" w:rsidRPr="00E67EE0" w:rsidRDefault="00970DEB" w:rsidP="00E67EE0">
            <w:pPr>
              <w:spacing w:after="0" w:line="240" w:lineRule="auto"/>
              <w:ind w:left="0" w:firstLine="0"/>
              <w:rPr>
                <w:rFonts w:ascii="Calibri" w:hAnsi="Calibri" w:cs="Calibri"/>
                <w:sz w:val="22"/>
              </w:rPr>
            </w:pPr>
          </w:p>
        </w:tc>
      </w:tr>
      <w:tr w:rsidR="00D136A1" w:rsidRPr="00D136A1" w14:paraId="348C909F" w14:textId="77777777" w:rsidTr="00D136A1">
        <w:trPr>
          <w:trHeight w:val="315"/>
        </w:trPr>
        <w:tc>
          <w:tcPr>
            <w:tcW w:w="1920" w:type="dxa"/>
            <w:gridSpan w:val="2"/>
            <w:tcBorders>
              <w:top w:val="nil"/>
              <w:left w:val="nil"/>
              <w:bottom w:val="nil"/>
              <w:right w:val="nil"/>
            </w:tcBorders>
            <w:shd w:val="clear" w:color="auto" w:fill="auto"/>
            <w:noWrap/>
            <w:vAlign w:val="bottom"/>
            <w:hideMark/>
          </w:tcPr>
          <w:p w14:paraId="65AC7FD1" w14:textId="77777777" w:rsidR="00D136A1" w:rsidRPr="00D136A1" w:rsidRDefault="00D136A1" w:rsidP="00D136A1">
            <w:pPr>
              <w:spacing w:after="0" w:line="240" w:lineRule="auto"/>
              <w:ind w:left="0" w:firstLine="0"/>
              <w:rPr>
                <w:rFonts w:ascii="Calibri" w:hAnsi="Calibri" w:cs="Calibri"/>
                <w:b/>
                <w:bCs/>
                <w:sz w:val="22"/>
              </w:rPr>
            </w:pPr>
            <w:r w:rsidRPr="00D136A1">
              <w:rPr>
                <w:rFonts w:ascii="Calibri" w:hAnsi="Calibri" w:cs="Calibri"/>
                <w:b/>
                <w:bCs/>
                <w:sz w:val="22"/>
              </w:rPr>
              <w:t>Pozemky dotčené</w:t>
            </w:r>
          </w:p>
        </w:tc>
        <w:tc>
          <w:tcPr>
            <w:tcW w:w="4380" w:type="dxa"/>
            <w:gridSpan w:val="5"/>
            <w:tcBorders>
              <w:top w:val="nil"/>
              <w:left w:val="nil"/>
              <w:bottom w:val="nil"/>
              <w:right w:val="nil"/>
            </w:tcBorders>
            <w:shd w:val="clear" w:color="auto" w:fill="auto"/>
            <w:noWrap/>
            <w:vAlign w:val="bottom"/>
            <w:hideMark/>
          </w:tcPr>
          <w:p w14:paraId="25B07069" w14:textId="77777777" w:rsidR="00D136A1" w:rsidRPr="00D136A1" w:rsidRDefault="00D136A1" w:rsidP="00D136A1">
            <w:pPr>
              <w:spacing w:after="0" w:line="240" w:lineRule="auto"/>
              <w:ind w:left="0" w:firstLine="0"/>
              <w:rPr>
                <w:rFonts w:ascii="Calibri" w:hAnsi="Calibri" w:cs="Calibri"/>
                <w:b/>
                <w:bCs/>
                <w:sz w:val="22"/>
              </w:rPr>
            </w:pPr>
          </w:p>
        </w:tc>
        <w:tc>
          <w:tcPr>
            <w:tcW w:w="620" w:type="dxa"/>
            <w:tcBorders>
              <w:top w:val="nil"/>
              <w:left w:val="nil"/>
              <w:bottom w:val="nil"/>
              <w:right w:val="nil"/>
            </w:tcBorders>
            <w:shd w:val="clear" w:color="auto" w:fill="auto"/>
            <w:noWrap/>
            <w:vAlign w:val="bottom"/>
            <w:hideMark/>
          </w:tcPr>
          <w:p w14:paraId="7CD52CCE" w14:textId="77777777" w:rsidR="00D136A1" w:rsidRPr="00D136A1" w:rsidRDefault="00D136A1" w:rsidP="00D136A1">
            <w:pPr>
              <w:spacing w:after="0" w:line="240" w:lineRule="auto"/>
              <w:ind w:left="0" w:firstLine="0"/>
              <w:rPr>
                <w:color w:val="auto"/>
                <w:sz w:val="20"/>
                <w:szCs w:val="20"/>
              </w:rPr>
            </w:pPr>
          </w:p>
        </w:tc>
        <w:tc>
          <w:tcPr>
            <w:tcW w:w="1280" w:type="dxa"/>
            <w:tcBorders>
              <w:top w:val="nil"/>
              <w:left w:val="nil"/>
              <w:bottom w:val="nil"/>
              <w:right w:val="nil"/>
            </w:tcBorders>
            <w:shd w:val="clear" w:color="auto" w:fill="auto"/>
            <w:noWrap/>
            <w:vAlign w:val="bottom"/>
            <w:hideMark/>
          </w:tcPr>
          <w:p w14:paraId="1924D1AD" w14:textId="77777777" w:rsidR="00D136A1" w:rsidRPr="00D136A1" w:rsidRDefault="00D136A1" w:rsidP="00D136A1">
            <w:pPr>
              <w:spacing w:after="0" w:line="240" w:lineRule="auto"/>
              <w:ind w:left="0" w:firstLine="0"/>
              <w:rPr>
                <w:color w:val="auto"/>
                <w:sz w:val="20"/>
                <w:szCs w:val="20"/>
              </w:rPr>
            </w:pPr>
          </w:p>
        </w:tc>
      </w:tr>
      <w:tr w:rsidR="00D136A1" w:rsidRPr="00D136A1" w14:paraId="38104C26" w14:textId="77777777" w:rsidTr="00D136A1">
        <w:trPr>
          <w:trHeight w:val="300"/>
        </w:trPr>
        <w:tc>
          <w:tcPr>
            <w:tcW w:w="109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F94F523"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1371</w:t>
            </w:r>
          </w:p>
        </w:tc>
        <w:tc>
          <w:tcPr>
            <w:tcW w:w="825" w:type="dxa"/>
            <w:tcBorders>
              <w:top w:val="single" w:sz="8" w:space="0" w:color="auto"/>
              <w:left w:val="nil"/>
              <w:bottom w:val="single" w:sz="4" w:space="0" w:color="auto"/>
              <w:right w:val="single" w:sz="4" w:space="0" w:color="auto"/>
            </w:tcBorders>
            <w:shd w:val="clear" w:color="auto" w:fill="auto"/>
            <w:noWrap/>
            <w:vAlign w:val="bottom"/>
            <w:hideMark/>
          </w:tcPr>
          <w:p w14:paraId="608CFD3B"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single" w:sz="8" w:space="0" w:color="auto"/>
              <w:left w:val="nil"/>
              <w:bottom w:val="single" w:sz="4" w:space="0" w:color="auto"/>
              <w:right w:val="single" w:sz="4" w:space="0" w:color="auto"/>
            </w:tcBorders>
            <w:shd w:val="clear" w:color="auto" w:fill="auto"/>
            <w:noWrap/>
            <w:vAlign w:val="bottom"/>
            <w:hideMark/>
          </w:tcPr>
          <w:p w14:paraId="1BDB9F25"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single" w:sz="8" w:space="0" w:color="auto"/>
              <w:left w:val="nil"/>
              <w:bottom w:val="single" w:sz="4" w:space="0" w:color="auto"/>
              <w:right w:val="single" w:sz="4" w:space="0" w:color="auto"/>
            </w:tcBorders>
            <w:shd w:val="clear" w:color="auto" w:fill="auto"/>
            <w:noWrap/>
            <w:vAlign w:val="bottom"/>
            <w:hideMark/>
          </w:tcPr>
          <w:p w14:paraId="537518B2"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2363</w:t>
            </w:r>
          </w:p>
        </w:tc>
        <w:tc>
          <w:tcPr>
            <w:tcW w:w="1280" w:type="dxa"/>
            <w:tcBorders>
              <w:top w:val="single" w:sz="8" w:space="0" w:color="auto"/>
              <w:left w:val="nil"/>
              <w:bottom w:val="single" w:sz="4" w:space="0" w:color="auto"/>
              <w:right w:val="single" w:sz="8" w:space="0" w:color="auto"/>
            </w:tcBorders>
            <w:shd w:val="clear" w:color="auto" w:fill="auto"/>
            <w:noWrap/>
            <w:vAlign w:val="bottom"/>
            <w:hideMark/>
          </w:tcPr>
          <w:p w14:paraId="4E413EBA"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komunikace</w:t>
            </w:r>
          </w:p>
        </w:tc>
      </w:tr>
      <w:tr w:rsidR="00D136A1" w:rsidRPr="00D136A1" w14:paraId="0ED005EE" w14:textId="77777777" w:rsidTr="00D136A1">
        <w:trPr>
          <w:trHeight w:val="300"/>
        </w:trPr>
        <w:tc>
          <w:tcPr>
            <w:tcW w:w="1095" w:type="dxa"/>
            <w:tcBorders>
              <w:top w:val="nil"/>
              <w:left w:val="single" w:sz="8" w:space="0" w:color="auto"/>
              <w:bottom w:val="single" w:sz="4" w:space="0" w:color="auto"/>
              <w:right w:val="single" w:sz="4" w:space="0" w:color="auto"/>
            </w:tcBorders>
            <w:shd w:val="clear" w:color="auto" w:fill="auto"/>
            <w:noWrap/>
            <w:vAlign w:val="bottom"/>
            <w:hideMark/>
          </w:tcPr>
          <w:p w14:paraId="64461AD4"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3/26</w:t>
            </w:r>
          </w:p>
        </w:tc>
        <w:tc>
          <w:tcPr>
            <w:tcW w:w="825" w:type="dxa"/>
            <w:tcBorders>
              <w:top w:val="nil"/>
              <w:left w:val="nil"/>
              <w:bottom w:val="single" w:sz="4" w:space="0" w:color="auto"/>
              <w:right w:val="single" w:sz="4" w:space="0" w:color="auto"/>
            </w:tcBorders>
            <w:shd w:val="clear" w:color="auto" w:fill="auto"/>
            <w:noWrap/>
            <w:vAlign w:val="bottom"/>
            <w:hideMark/>
          </w:tcPr>
          <w:p w14:paraId="70802CBA"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4" w:space="0" w:color="auto"/>
              <w:right w:val="single" w:sz="4" w:space="0" w:color="auto"/>
            </w:tcBorders>
            <w:shd w:val="clear" w:color="auto" w:fill="auto"/>
            <w:noWrap/>
            <w:vAlign w:val="bottom"/>
            <w:hideMark/>
          </w:tcPr>
          <w:p w14:paraId="0040C320"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4" w:space="0" w:color="auto"/>
              <w:right w:val="single" w:sz="4" w:space="0" w:color="auto"/>
            </w:tcBorders>
            <w:shd w:val="clear" w:color="auto" w:fill="auto"/>
            <w:noWrap/>
            <w:vAlign w:val="bottom"/>
            <w:hideMark/>
          </w:tcPr>
          <w:p w14:paraId="4F8A574D"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168</w:t>
            </w:r>
          </w:p>
        </w:tc>
        <w:tc>
          <w:tcPr>
            <w:tcW w:w="1280" w:type="dxa"/>
            <w:tcBorders>
              <w:top w:val="nil"/>
              <w:left w:val="nil"/>
              <w:bottom w:val="single" w:sz="4" w:space="0" w:color="auto"/>
              <w:right w:val="single" w:sz="8" w:space="0" w:color="auto"/>
            </w:tcBorders>
            <w:shd w:val="clear" w:color="auto" w:fill="auto"/>
            <w:noWrap/>
            <w:vAlign w:val="bottom"/>
            <w:hideMark/>
          </w:tcPr>
          <w:p w14:paraId="0943F30E"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ostatní</w:t>
            </w:r>
          </w:p>
        </w:tc>
      </w:tr>
      <w:tr w:rsidR="00D136A1" w:rsidRPr="00D136A1" w14:paraId="17195533" w14:textId="77777777" w:rsidTr="00D136A1">
        <w:trPr>
          <w:trHeight w:val="300"/>
        </w:trPr>
        <w:tc>
          <w:tcPr>
            <w:tcW w:w="1095" w:type="dxa"/>
            <w:tcBorders>
              <w:top w:val="nil"/>
              <w:left w:val="single" w:sz="8" w:space="0" w:color="auto"/>
              <w:bottom w:val="single" w:sz="4" w:space="0" w:color="auto"/>
              <w:right w:val="single" w:sz="4" w:space="0" w:color="auto"/>
            </w:tcBorders>
            <w:shd w:val="clear" w:color="auto" w:fill="auto"/>
            <w:noWrap/>
            <w:vAlign w:val="bottom"/>
            <w:hideMark/>
          </w:tcPr>
          <w:p w14:paraId="5D802485"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3/3</w:t>
            </w:r>
          </w:p>
        </w:tc>
        <w:tc>
          <w:tcPr>
            <w:tcW w:w="825" w:type="dxa"/>
            <w:tcBorders>
              <w:top w:val="nil"/>
              <w:left w:val="nil"/>
              <w:bottom w:val="single" w:sz="4" w:space="0" w:color="auto"/>
              <w:right w:val="single" w:sz="4" w:space="0" w:color="auto"/>
            </w:tcBorders>
            <w:shd w:val="clear" w:color="auto" w:fill="auto"/>
            <w:noWrap/>
            <w:vAlign w:val="bottom"/>
            <w:hideMark/>
          </w:tcPr>
          <w:p w14:paraId="1805F0D7"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4" w:space="0" w:color="auto"/>
              <w:right w:val="single" w:sz="4" w:space="0" w:color="auto"/>
            </w:tcBorders>
            <w:shd w:val="clear" w:color="auto" w:fill="auto"/>
            <w:noWrap/>
            <w:vAlign w:val="bottom"/>
            <w:hideMark/>
          </w:tcPr>
          <w:p w14:paraId="36F51883"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4" w:space="0" w:color="auto"/>
              <w:right w:val="single" w:sz="4" w:space="0" w:color="auto"/>
            </w:tcBorders>
            <w:shd w:val="clear" w:color="auto" w:fill="auto"/>
            <w:noWrap/>
            <w:vAlign w:val="bottom"/>
            <w:hideMark/>
          </w:tcPr>
          <w:p w14:paraId="73BA1A1A"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6867</w:t>
            </w:r>
          </w:p>
        </w:tc>
        <w:tc>
          <w:tcPr>
            <w:tcW w:w="1280" w:type="dxa"/>
            <w:tcBorders>
              <w:top w:val="nil"/>
              <w:left w:val="nil"/>
              <w:bottom w:val="single" w:sz="4" w:space="0" w:color="auto"/>
              <w:right w:val="single" w:sz="8" w:space="0" w:color="auto"/>
            </w:tcBorders>
            <w:shd w:val="clear" w:color="auto" w:fill="auto"/>
            <w:noWrap/>
            <w:vAlign w:val="bottom"/>
            <w:hideMark/>
          </w:tcPr>
          <w:p w14:paraId="45884058"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zahrada</w:t>
            </w:r>
          </w:p>
        </w:tc>
      </w:tr>
      <w:tr w:rsidR="00D136A1" w:rsidRPr="00D136A1" w14:paraId="5A2084F0" w14:textId="77777777" w:rsidTr="00D136A1">
        <w:trPr>
          <w:trHeight w:val="300"/>
        </w:trPr>
        <w:tc>
          <w:tcPr>
            <w:tcW w:w="1095" w:type="dxa"/>
            <w:tcBorders>
              <w:top w:val="nil"/>
              <w:left w:val="single" w:sz="8" w:space="0" w:color="auto"/>
              <w:bottom w:val="single" w:sz="4" w:space="0" w:color="auto"/>
              <w:right w:val="single" w:sz="4" w:space="0" w:color="auto"/>
            </w:tcBorders>
            <w:shd w:val="clear" w:color="auto" w:fill="auto"/>
            <w:noWrap/>
            <w:vAlign w:val="bottom"/>
            <w:hideMark/>
          </w:tcPr>
          <w:p w14:paraId="41E64837"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1372</w:t>
            </w:r>
          </w:p>
        </w:tc>
        <w:tc>
          <w:tcPr>
            <w:tcW w:w="825" w:type="dxa"/>
            <w:tcBorders>
              <w:top w:val="nil"/>
              <w:left w:val="nil"/>
              <w:bottom w:val="single" w:sz="4" w:space="0" w:color="auto"/>
              <w:right w:val="single" w:sz="4" w:space="0" w:color="auto"/>
            </w:tcBorders>
            <w:shd w:val="clear" w:color="auto" w:fill="auto"/>
            <w:noWrap/>
            <w:vAlign w:val="bottom"/>
            <w:hideMark/>
          </w:tcPr>
          <w:p w14:paraId="3A6D32C8"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4" w:space="0" w:color="auto"/>
              <w:right w:val="single" w:sz="4" w:space="0" w:color="auto"/>
            </w:tcBorders>
            <w:shd w:val="clear" w:color="auto" w:fill="auto"/>
            <w:noWrap/>
            <w:vAlign w:val="bottom"/>
            <w:hideMark/>
          </w:tcPr>
          <w:p w14:paraId="0A420378"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4" w:space="0" w:color="auto"/>
              <w:right w:val="single" w:sz="4" w:space="0" w:color="auto"/>
            </w:tcBorders>
            <w:shd w:val="clear" w:color="auto" w:fill="auto"/>
            <w:noWrap/>
            <w:vAlign w:val="bottom"/>
            <w:hideMark/>
          </w:tcPr>
          <w:p w14:paraId="218BB9C9"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4751</w:t>
            </w:r>
          </w:p>
        </w:tc>
        <w:tc>
          <w:tcPr>
            <w:tcW w:w="1280" w:type="dxa"/>
            <w:tcBorders>
              <w:top w:val="nil"/>
              <w:left w:val="nil"/>
              <w:bottom w:val="single" w:sz="4" w:space="0" w:color="auto"/>
              <w:right w:val="single" w:sz="8" w:space="0" w:color="auto"/>
            </w:tcBorders>
            <w:shd w:val="clear" w:color="auto" w:fill="auto"/>
            <w:noWrap/>
            <w:vAlign w:val="bottom"/>
            <w:hideMark/>
          </w:tcPr>
          <w:p w14:paraId="0863076D"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komunikace</w:t>
            </w:r>
          </w:p>
        </w:tc>
      </w:tr>
      <w:tr w:rsidR="00D136A1" w:rsidRPr="00D136A1" w14:paraId="415D22AF" w14:textId="77777777" w:rsidTr="00D136A1">
        <w:trPr>
          <w:trHeight w:val="300"/>
        </w:trPr>
        <w:tc>
          <w:tcPr>
            <w:tcW w:w="1095" w:type="dxa"/>
            <w:tcBorders>
              <w:top w:val="nil"/>
              <w:left w:val="single" w:sz="8" w:space="0" w:color="auto"/>
              <w:bottom w:val="single" w:sz="4" w:space="0" w:color="auto"/>
              <w:right w:val="single" w:sz="4" w:space="0" w:color="auto"/>
            </w:tcBorders>
            <w:shd w:val="clear" w:color="auto" w:fill="auto"/>
            <w:noWrap/>
            <w:vAlign w:val="bottom"/>
            <w:hideMark/>
          </w:tcPr>
          <w:p w14:paraId="2C98C8B3"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547/171</w:t>
            </w:r>
          </w:p>
        </w:tc>
        <w:tc>
          <w:tcPr>
            <w:tcW w:w="825" w:type="dxa"/>
            <w:tcBorders>
              <w:top w:val="nil"/>
              <w:left w:val="nil"/>
              <w:bottom w:val="single" w:sz="4" w:space="0" w:color="auto"/>
              <w:right w:val="single" w:sz="4" w:space="0" w:color="auto"/>
            </w:tcBorders>
            <w:shd w:val="clear" w:color="auto" w:fill="auto"/>
            <w:noWrap/>
            <w:vAlign w:val="bottom"/>
            <w:hideMark/>
          </w:tcPr>
          <w:p w14:paraId="7C5848E0"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4" w:space="0" w:color="auto"/>
              <w:right w:val="single" w:sz="4" w:space="0" w:color="auto"/>
            </w:tcBorders>
            <w:shd w:val="clear" w:color="auto" w:fill="auto"/>
            <w:noWrap/>
            <w:vAlign w:val="bottom"/>
            <w:hideMark/>
          </w:tcPr>
          <w:p w14:paraId="61F0AF03"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4" w:space="0" w:color="auto"/>
              <w:right w:val="single" w:sz="4" w:space="0" w:color="auto"/>
            </w:tcBorders>
            <w:shd w:val="clear" w:color="auto" w:fill="auto"/>
            <w:noWrap/>
            <w:vAlign w:val="bottom"/>
            <w:hideMark/>
          </w:tcPr>
          <w:p w14:paraId="6976E6D2"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3175</w:t>
            </w:r>
          </w:p>
        </w:tc>
        <w:tc>
          <w:tcPr>
            <w:tcW w:w="1280" w:type="dxa"/>
            <w:tcBorders>
              <w:top w:val="nil"/>
              <w:left w:val="nil"/>
              <w:bottom w:val="single" w:sz="4" w:space="0" w:color="auto"/>
              <w:right w:val="single" w:sz="8" w:space="0" w:color="auto"/>
            </w:tcBorders>
            <w:shd w:val="clear" w:color="auto" w:fill="auto"/>
            <w:noWrap/>
            <w:vAlign w:val="bottom"/>
            <w:hideMark/>
          </w:tcPr>
          <w:p w14:paraId="1181F33D"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orná</w:t>
            </w:r>
          </w:p>
        </w:tc>
      </w:tr>
      <w:tr w:rsidR="00D136A1" w:rsidRPr="00D136A1" w14:paraId="7BE1DE5F" w14:textId="77777777" w:rsidTr="00D136A1">
        <w:trPr>
          <w:trHeight w:val="300"/>
        </w:trPr>
        <w:tc>
          <w:tcPr>
            <w:tcW w:w="1095" w:type="dxa"/>
            <w:tcBorders>
              <w:top w:val="nil"/>
              <w:left w:val="single" w:sz="8" w:space="0" w:color="auto"/>
              <w:bottom w:val="single" w:sz="4" w:space="0" w:color="auto"/>
              <w:right w:val="single" w:sz="4" w:space="0" w:color="auto"/>
            </w:tcBorders>
            <w:shd w:val="clear" w:color="auto" w:fill="auto"/>
            <w:noWrap/>
            <w:vAlign w:val="bottom"/>
            <w:hideMark/>
          </w:tcPr>
          <w:p w14:paraId="2D085DE8"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43</w:t>
            </w:r>
          </w:p>
        </w:tc>
        <w:tc>
          <w:tcPr>
            <w:tcW w:w="825" w:type="dxa"/>
            <w:tcBorders>
              <w:top w:val="nil"/>
              <w:left w:val="nil"/>
              <w:bottom w:val="single" w:sz="4" w:space="0" w:color="auto"/>
              <w:right w:val="single" w:sz="4" w:space="0" w:color="auto"/>
            </w:tcBorders>
            <w:shd w:val="clear" w:color="auto" w:fill="auto"/>
            <w:noWrap/>
            <w:vAlign w:val="bottom"/>
            <w:hideMark/>
          </w:tcPr>
          <w:p w14:paraId="350747F3"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4" w:space="0" w:color="auto"/>
              <w:right w:val="single" w:sz="4" w:space="0" w:color="auto"/>
            </w:tcBorders>
            <w:shd w:val="clear" w:color="auto" w:fill="auto"/>
            <w:noWrap/>
            <w:vAlign w:val="bottom"/>
            <w:hideMark/>
          </w:tcPr>
          <w:p w14:paraId="736017BB"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4" w:space="0" w:color="auto"/>
              <w:right w:val="single" w:sz="4" w:space="0" w:color="auto"/>
            </w:tcBorders>
            <w:shd w:val="clear" w:color="auto" w:fill="auto"/>
            <w:noWrap/>
            <w:vAlign w:val="bottom"/>
            <w:hideMark/>
          </w:tcPr>
          <w:p w14:paraId="487B54B3"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1899</w:t>
            </w:r>
          </w:p>
        </w:tc>
        <w:tc>
          <w:tcPr>
            <w:tcW w:w="1280" w:type="dxa"/>
            <w:tcBorders>
              <w:top w:val="nil"/>
              <w:left w:val="nil"/>
              <w:bottom w:val="single" w:sz="4" w:space="0" w:color="auto"/>
              <w:right w:val="single" w:sz="8" w:space="0" w:color="auto"/>
            </w:tcBorders>
            <w:shd w:val="clear" w:color="auto" w:fill="auto"/>
            <w:noWrap/>
            <w:vAlign w:val="bottom"/>
            <w:hideMark/>
          </w:tcPr>
          <w:p w14:paraId="3E6D22EE"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ostatní</w:t>
            </w:r>
          </w:p>
        </w:tc>
      </w:tr>
      <w:tr w:rsidR="00D136A1" w:rsidRPr="00D136A1" w14:paraId="2536E54A" w14:textId="77777777" w:rsidTr="00D136A1">
        <w:trPr>
          <w:trHeight w:val="315"/>
        </w:trPr>
        <w:tc>
          <w:tcPr>
            <w:tcW w:w="1095" w:type="dxa"/>
            <w:tcBorders>
              <w:top w:val="nil"/>
              <w:left w:val="single" w:sz="8" w:space="0" w:color="auto"/>
              <w:bottom w:val="single" w:sz="8" w:space="0" w:color="auto"/>
              <w:right w:val="single" w:sz="4" w:space="0" w:color="auto"/>
            </w:tcBorders>
            <w:shd w:val="clear" w:color="auto" w:fill="auto"/>
            <w:noWrap/>
            <w:vAlign w:val="bottom"/>
            <w:hideMark/>
          </w:tcPr>
          <w:p w14:paraId="231CE184"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59/1</w:t>
            </w:r>
          </w:p>
        </w:tc>
        <w:tc>
          <w:tcPr>
            <w:tcW w:w="825" w:type="dxa"/>
            <w:tcBorders>
              <w:top w:val="nil"/>
              <w:left w:val="nil"/>
              <w:bottom w:val="single" w:sz="8" w:space="0" w:color="auto"/>
              <w:right w:val="single" w:sz="4" w:space="0" w:color="auto"/>
            </w:tcBorders>
            <w:shd w:val="clear" w:color="auto" w:fill="auto"/>
            <w:noWrap/>
            <w:vAlign w:val="bottom"/>
            <w:hideMark/>
          </w:tcPr>
          <w:p w14:paraId="26045A4C"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10001</w:t>
            </w:r>
          </w:p>
        </w:tc>
        <w:tc>
          <w:tcPr>
            <w:tcW w:w="4380" w:type="dxa"/>
            <w:gridSpan w:val="5"/>
            <w:tcBorders>
              <w:top w:val="nil"/>
              <w:left w:val="nil"/>
              <w:bottom w:val="single" w:sz="8" w:space="0" w:color="auto"/>
              <w:right w:val="single" w:sz="4" w:space="0" w:color="auto"/>
            </w:tcBorders>
            <w:shd w:val="clear" w:color="auto" w:fill="auto"/>
            <w:noWrap/>
            <w:vAlign w:val="bottom"/>
            <w:hideMark/>
          </w:tcPr>
          <w:p w14:paraId="1008EB2E" w14:textId="77777777" w:rsidR="00D136A1" w:rsidRPr="00D136A1" w:rsidRDefault="00D136A1" w:rsidP="00D136A1">
            <w:pPr>
              <w:spacing w:after="0" w:line="240" w:lineRule="auto"/>
              <w:ind w:left="0" w:firstLine="0"/>
              <w:rPr>
                <w:rFonts w:ascii="Segoe UI" w:hAnsi="Segoe UI" w:cs="Segoe UI"/>
                <w:sz w:val="16"/>
                <w:szCs w:val="16"/>
              </w:rPr>
            </w:pPr>
            <w:r w:rsidRPr="00D136A1">
              <w:rPr>
                <w:rFonts w:ascii="Segoe UI" w:hAnsi="Segoe UI" w:cs="Segoe UI"/>
                <w:sz w:val="16"/>
                <w:szCs w:val="16"/>
              </w:rPr>
              <w:t>Obec Dolní Vilémovice, č. p. 142, 67552 Dolní Vilémovice</w:t>
            </w:r>
          </w:p>
        </w:tc>
        <w:tc>
          <w:tcPr>
            <w:tcW w:w="620" w:type="dxa"/>
            <w:tcBorders>
              <w:top w:val="nil"/>
              <w:left w:val="nil"/>
              <w:bottom w:val="single" w:sz="8" w:space="0" w:color="auto"/>
              <w:right w:val="single" w:sz="4" w:space="0" w:color="auto"/>
            </w:tcBorders>
            <w:shd w:val="clear" w:color="auto" w:fill="auto"/>
            <w:noWrap/>
            <w:vAlign w:val="bottom"/>
            <w:hideMark/>
          </w:tcPr>
          <w:p w14:paraId="413307D2"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1767</w:t>
            </w:r>
          </w:p>
        </w:tc>
        <w:tc>
          <w:tcPr>
            <w:tcW w:w="1280" w:type="dxa"/>
            <w:tcBorders>
              <w:top w:val="nil"/>
              <w:left w:val="nil"/>
              <w:bottom w:val="single" w:sz="8" w:space="0" w:color="auto"/>
              <w:right w:val="single" w:sz="8" w:space="0" w:color="auto"/>
            </w:tcBorders>
            <w:shd w:val="clear" w:color="auto" w:fill="auto"/>
            <w:noWrap/>
            <w:vAlign w:val="bottom"/>
            <w:hideMark/>
          </w:tcPr>
          <w:p w14:paraId="5DBFE166" w14:textId="77777777" w:rsidR="00D136A1" w:rsidRPr="00D136A1" w:rsidRDefault="00D136A1" w:rsidP="00D136A1">
            <w:pPr>
              <w:spacing w:after="0" w:line="240" w:lineRule="auto"/>
              <w:ind w:left="0" w:firstLine="0"/>
              <w:rPr>
                <w:rFonts w:ascii="Calibri" w:hAnsi="Calibri" w:cs="Calibri"/>
                <w:sz w:val="16"/>
                <w:szCs w:val="16"/>
              </w:rPr>
            </w:pPr>
            <w:r w:rsidRPr="00D136A1">
              <w:rPr>
                <w:rFonts w:ascii="Calibri" w:hAnsi="Calibri" w:cs="Calibri"/>
                <w:sz w:val="16"/>
                <w:szCs w:val="16"/>
              </w:rPr>
              <w:t>ostatní</w:t>
            </w:r>
          </w:p>
        </w:tc>
      </w:tr>
    </w:tbl>
    <w:p w14:paraId="46071C8D" w14:textId="77777777" w:rsidR="00D136A1" w:rsidRPr="00D136A1" w:rsidRDefault="00D136A1" w:rsidP="00D136A1">
      <w:pPr>
        <w:suppressAutoHyphens/>
        <w:spacing w:after="0" w:line="240" w:lineRule="auto"/>
        <w:ind w:left="0" w:firstLine="0"/>
        <w:rPr>
          <w:rFonts w:ascii="Arial" w:hAnsi="Arial" w:cs="Arial"/>
          <w:b/>
          <w:color w:val="auto"/>
          <w:sz w:val="22"/>
          <w:lang w:eastAsia="ar-SA"/>
        </w:rPr>
      </w:pPr>
    </w:p>
    <w:tbl>
      <w:tblPr>
        <w:tblW w:w="3840" w:type="dxa"/>
        <w:tblInd w:w="70" w:type="dxa"/>
        <w:tblCellMar>
          <w:left w:w="70" w:type="dxa"/>
          <w:right w:w="70" w:type="dxa"/>
        </w:tblCellMar>
        <w:tblLook w:val="04A0" w:firstRow="1" w:lastRow="0" w:firstColumn="1" w:lastColumn="0" w:noHBand="0" w:noVBand="1"/>
      </w:tblPr>
      <w:tblGrid>
        <w:gridCol w:w="944"/>
        <w:gridCol w:w="976"/>
        <w:gridCol w:w="960"/>
        <w:gridCol w:w="960"/>
      </w:tblGrid>
      <w:tr w:rsidR="00D136A1" w:rsidRPr="00D136A1" w14:paraId="4CFE3946" w14:textId="77777777" w:rsidTr="005B7560">
        <w:trPr>
          <w:trHeight w:val="315"/>
        </w:trPr>
        <w:tc>
          <w:tcPr>
            <w:tcW w:w="1920" w:type="dxa"/>
            <w:gridSpan w:val="2"/>
            <w:tcBorders>
              <w:top w:val="nil"/>
              <w:left w:val="nil"/>
              <w:bottom w:val="nil"/>
              <w:right w:val="nil"/>
            </w:tcBorders>
            <w:shd w:val="clear" w:color="auto" w:fill="auto"/>
            <w:noWrap/>
            <w:vAlign w:val="bottom"/>
            <w:hideMark/>
          </w:tcPr>
          <w:p w14:paraId="19DF30CE" w14:textId="77777777" w:rsidR="00D136A1" w:rsidRPr="00D136A1" w:rsidRDefault="00D136A1" w:rsidP="00D136A1">
            <w:pPr>
              <w:spacing w:after="0" w:line="240" w:lineRule="auto"/>
              <w:ind w:left="0" w:firstLine="0"/>
              <w:rPr>
                <w:rFonts w:ascii="Calibri" w:hAnsi="Calibri" w:cs="Calibri"/>
                <w:b/>
                <w:bCs/>
                <w:sz w:val="22"/>
              </w:rPr>
            </w:pPr>
            <w:r w:rsidRPr="00D136A1">
              <w:rPr>
                <w:rFonts w:ascii="Calibri" w:hAnsi="Calibri" w:cs="Calibri"/>
                <w:b/>
                <w:bCs/>
                <w:sz w:val="22"/>
              </w:rPr>
              <w:t>Pozemky sousední</w:t>
            </w:r>
          </w:p>
        </w:tc>
        <w:tc>
          <w:tcPr>
            <w:tcW w:w="960" w:type="dxa"/>
            <w:tcBorders>
              <w:top w:val="nil"/>
              <w:left w:val="nil"/>
              <w:bottom w:val="nil"/>
              <w:right w:val="nil"/>
            </w:tcBorders>
            <w:shd w:val="clear" w:color="auto" w:fill="auto"/>
            <w:noWrap/>
            <w:vAlign w:val="bottom"/>
            <w:hideMark/>
          </w:tcPr>
          <w:p w14:paraId="226011AD" w14:textId="77777777" w:rsidR="00D136A1" w:rsidRPr="00D136A1" w:rsidRDefault="00D136A1" w:rsidP="00D136A1">
            <w:pPr>
              <w:spacing w:after="0" w:line="240" w:lineRule="auto"/>
              <w:ind w:left="0" w:firstLine="0"/>
              <w:rPr>
                <w:rFonts w:ascii="Calibri" w:hAnsi="Calibri" w:cs="Calibri"/>
                <w:b/>
                <w:bCs/>
                <w:sz w:val="22"/>
              </w:rPr>
            </w:pPr>
          </w:p>
        </w:tc>
        <w:tc>
          <w:tcPr>
            <w:tcW w:w="960" w:type="dxa"/>
            <w:tcBorders>
              <w:top w:val="nil"/>
              <w:left w:val="nil"/>
              <w:bottom w:val="nil"/>
              <w:right w:val="nil"/>
            </w:tcBorders>
            <w:shd w:val="clear" w:color="auto" w:fill="auto"/>
            <w:noWrap/>
            <w:vAlign w:val="bottom"/>
            <w:hideMark/>
          </w:tcPr>
          <w:p w14:paraId="5A92CE39" w14:textId="77777777" w:rsidR="00D136A1" w:rsidRPr="00D136A1" w:rsidRDefault="00D136A1" w:rsidP="00D136A1">
            <w:pPr>
              <w:spacing w:after="0" w:line="240" w:lineRule="auto"/>
              <w:ind w:left="0" w:firstLine="0"/>
              <w:rPr>
                <w:color w:val="auto"/>
                <w:sz w:val="20"/>
                <w:szCs w:val="20"/>
              </w:rPr>
            </w:pPr>
          </w:p>
        </w:tc>
      </w:tr>
      <w:tr w:rsidR="00D136A1" w:rsidRPr="00D136A1" w14:paraId="60148734" w14:textId="77777777" w:rsidTr="005B7560">
        <w:trPr>
          <w:trHeight w:val="300"/>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800BB"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1217/3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14:paraId="1270D8A8"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3/27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E346CE4"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547/196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C4221BA"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58/3</w:t>
            </w:r>
          </w:p>
        </w:tc>
      </w:tr>
      <w:tr w:rsidR="00D136A1" w:rsidRPr="00D136A1" w14:paraId="7F334927" w14:textId="77777777" w:rsidTr="005B7560">
        <w:trPr>
          <w:trHeight w:val="300"/>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E93BD4C"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st.1/1</w:t>
            </w:r>
          </w:p>
        </w:tc>
        <w:tc>
          <w:tcPr>
            <w:tcW w:w="976" w:type="dxa"/>
            <w:tcBorders>
              <w:top w:val="nil"/>
              <w:left w:val="nil"/>
              <w:bottom w:val="single" w:sz="4" w:space="0" w:color="auto"/>
              <w:right w:val="single" w:sz="4" w:space="0" w:color="auto"/>
            </w:tcBorders>
            <w:shd w:val="clear" w:color="auto" w:fill="auto"/>
            <w:noWrap/>
            <w:vAlign w:val="bottom"/>
            <w:hideMark/>
          </w:tcPr>
          <w:p w14:paraId="54D1B332"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3/37</w:t>
            </w:r>
          </w:p>
        </w:tc>
        <w:tc>
          <w:tcPr>
            <w:tcW w:w="960" w:type="dxa"/>
            <w:tcBorders>
              <w:top w:val="nil"/>
              <w:left w:val="nil"/>
              <w:bottom w:val="single" w:sz="4" w:space="0" w:color="auto"/>
              <w:right w:val="single" w:sz="4" w:space="0" w:color="auto"/>
            </w:tcBorders>
            <w:shd w:val="clear" w:color="auto" w:fill="auto"/>
            <w:noWrap/>
            <w:vAlign w:val="bottom"/>
            <w:hideMark/>
          </w:tcPr>
          <w:p w14:paraId="0BD473E9"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547/198</w:t>
            </w:r>
          </w:p>
        </w:tc>
        <w:tc>
          <w:tcPr>
            <w:tcW w:w="960" w:type="dxa"/>
            <w:tcBorders>
              <w:top w:val="nil"/>
              <w:left w:val="nil"/>
              <w:bottom w:val="single" w:sz="4" w:space="0" w:color="auto"/>
              <w:right w:val="single" w:sz="4" w:space="0" w:color="auto"/>
            </w:tcBorders>
            <w:shd w:val="clear" w:color="auto" w:fill="auto"/>
            <w:noWrap/>
            <w:vAlign w:val="bottom"/>
            <w:hideMark/>
          </w:tcPr>
          <w:p w14:paraId="706F76F3"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44/5</w:t>
            </w:r>
          </w:p>
        </w:tc>
      </w:tr>
      <w:tr w:rsidR="00D136A1" w:rsidRPr="00D136A1" w14:paraId="44D85700" w14:textId="77777777" w:rsidTr="005B7560">
        <w:trPr>
          <w:trHeight w:val="300"/>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D8A4730"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st.1/3</w:t>
            </w:r>
          </w:p>
        </w:tc>
        <w:tc>
          <w:tcPr>
            <w:tcW w:w="976" w:type="dxa"/>
            <w:tcBorders>
              <w:top w:val="nil"/>
              <w:left w:val="nil"/>
              <w:bottom w:val="single" w:sz="4" w:space="0" w:color="auto"/>
              <w:right w:val="single" w:sz="4" w:space="0" w:color="auto"/>
            </w:tcBorders>
            <w:shd w:val="clear" w:color="auto" w:fill="auto"/>
            <w:noWrap/>
            <w:vAlign w:val="bottom"/>
            <w:hideMark/>
          </w:tcPr>
          <w:p w14:paraId="6CD9FD89"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3/35</w:t>
            </w:r>
          </w:p>
        </w:tc>
        <w:tc>
          <w:tcPr>
            <w:tcW w:w="960" w:type="dxa"/>
            <w:tcBorders>
              <w:top w:val="nil"/>
              <w:left w:val="nil"/>
              <w:bottom w:val="single" w:sz="4" w:space="0" w:color="auto"/>
              <w:right w:val="single" w:sz="4" w:space="0" w:color="auto"/>
            </w:tcBorders>
            <w:shd w:val="clear" w:color="auto" w:fill="auto"/>
            <w:noWrap/>
            <w:vAlign w:val="bottom"/>
            <w:hideMark/>
          </w:tcPr>
          <w:p w14:paraId="01E06FC7"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547/187</w:t>
            </w:r>
          </w:p>
        </w:tc>
        <w:tc>
          <w:tcPr>
            <w:tcW w:w="960" w:type="dxa"/>
            <w:tcBorders>
              <w:top w:val="nil"/>
              <w:left w:val="nil"/>
              <w:bottom w:val="single" w:sz="4" w:space="0" w:color="auto"/>
              <w:right w:val="single" w:sz="4" w:space="0" w:color="auto"/>
            </w:tcBorders>
            <w:shd w:val="clear" w:color="auto" w:fill="auto"/>
            <w:noWrap/>
            <w:vAlign w:val="bottom"/>
            <w:hideMark/>
          </w:tcPr>
          <w:p w14:paraId="1A2CD447"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44/18</w:t>
            </w:r>
          </w:p>
        </w:tc>
      </w:tr>
      <w:tr w:rsidR="00D136A1" w:rsidRPr="00D136A1" w14:paraId="5EB2807F" w14:textId="77777777" w:rsidTr="005B7560">
        <w:trPr>
          <w:trHeight w:val="300"/>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A8E761D"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st.2</w:t>
            </w:r>
          </w:p>
        </w:tc>
        <w:tc>
          <w:tcPr>
            <w:tcW w:w="976" w:type="dxa"/>
            <w:tcBorders>
              <w:top w:val="nil"/>
              <w:left w:val="nil"/>
              <w:bottom w:val="single" w:sz="4" w:space="0" w:color="auto"/>
              <w:right w:val="single" w:sz="4" w:space="0" w:color="auto"/>
            </w:tcBorders>
            <w:shd w:val="clear" w:color="auto" w:fill="auto"/>
            <w:noWrap/>
            <w:vAlign w:val="bottom"/>
            <w:hideMark/>
          </w:tcPr>
          <w:p w14:paraId="06560B95"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547/188</w:t>
            </w:r>
          </w:p>
        </w:tc>
        <w:tc>
          <w:tcPr>
            <w:tcW w:w="960" w:type="dxa"/>
            <w:tcBorders>
              <w:top w:val="nil"/>
              <w:left w:val="nil"/>
              <w:bottom w:val="single" w:sz="4" w:space="0" w:color="auto"/>
              <w:right w:val="single" w:sz="4" w:space="0" w:color="auto"/>
            </w:tcBorders>
            <w:shd w:val="clear" w:color="auto" w:fill="auto"/>
            <w:noWrap/>
            <w:vAlign w:val="bottom"/>
            <w:hideMark/>
          </w:tcPr>
          <w:p w14:paraId="2E070CD3"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547/199</w:t>
            </w:r>
          </w:p>
        </w:tc>
        <w:tc>
          <w:tcPr>
            <w:tcW w:w="960" w:type="dxa"/>
            <w:tcBorders>
              <w:top w:val="nil"/>
              <w:left w:val="nil"/>
              <w:bottom w:val="nil"/>
              <w:right w:val="nil"/>
            </w:tcBorders>
            <w:shd w:val="clear" w:color="auto" w:fill="auto"/>
            <w:noWrap/>
            <w:vAlign w:val="bottom"/>
            <w:hideMark/>
          </w:tcPr>
          <w:p w14:paraId="5F83CF3F" w14:textId="77777777" w:rsidR="00D136A1" w:rsidRPr="00D136A1" w:rsidRDefault="00D136A1" w:rsidP="00D136A1">
            <w:pPr>
              <w:spacing w:after="0" w:line="240" w:lineRule="auto"/>
              <w:ind w:left="0" w:firstLine="0"/>
              <w:rPr>
                <w:rFonts w:ascii="Calibri" w:hAnsi="Calibri" w:cs="Calibri"/>
                <w:sz w:val="22"/>
              </w:rPr>
            </w:pPr>
          </w:p>
        </w:tc>
      </w:tr>
      <w:tr w:rsidR="00D136A1" w:rsidRPr="00D136A1" w14:paraId="43DA6A07" w14:textId="77777777" w:rsidTr="005B7560">
        <w:trPr>
          <w:trHeight w:val="300"/>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0F87576"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3/2</w:t>
            </w:r>
          </w:p>
        </w:tc>
        <w:tc>
          <w:tcPr>
            <w:tcW w:w="976" w:type="dxa"/>
            <w:tcBorders>
              <w:top w:val="nil"/>
              <w:left w:val="nil"/>
              <w:bottom w:val="single" w:sz="4" w:space="0" w:color="auto"/>
              <w:right w:val="single" w:sz="4" w:space="0" w:color="auto"/>
            </w:tcBorders>
            <w:shd w:val="clear" w:color="auto" w:fill="auto"/>
            <w:noWrap/>
            <w:vAlign w:val="bottom"/>
            <w:hideMark/>
          </w:tcPr>
          <w:p w14:paraId="56BEE3DE"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547/189</w:t>
            </w:r>
          </w:p>
        </w:tc>
        <w:tc>
          <w:tcPr>
            <w:tcW w:w="960" w:type="dxa"/>
            <w:tcBorders>
              <w:top w:val="nil"/>
              <w:left w:val="nil"/>
              <w:bottom w:val="single" w:sz="4" w:space="0" w:color="auto"/>
              <w:right w:val="single" w:sz="4" w:space="0" w:color="auto"/>
            </w:tcBorders>
            <w:shd w:val="clear" w:color="auto" w:fill="auto"/>
            <w:noWrap/>
            <w:vAlign w:val="bottom"/>
            <w:hideMark/>
          </w:tcPr>
          <w:p w14:paraId="743897BC" w14:textId="77777777" w:rsidR="00D136A1" w:rsidRPr="00D136A1" w:rsidRDefault="00D136A1" w:rsidP="00D136A1">
            <w:pPr>
              <w:spacing w:after="0" w:line="240" w:lineRule="auto"/>
              <w:ind w:left="0" w:firstLine="0"/>
              <w:rPr>
                <w:rFonts w:ascii="Calibri" w:hAnsi="Calibri" w:cs="Calibri"/>
                <w:sz w:val="22"/>
              </w:rPr>
            </w:pPr>
            <w:r w:rsidRPr="00D136A1">
              <w:rPr>
                <w:rFonts w:ascii="Calibri" w:hAnsi="Calibri" w:cs="Calibri"/>
                <w:sz w:val="22"/>
              </w:rPr>
              <w:t>547/202</w:t>
            </w:r>
          </w:p>
        </w:tc>
        <w:tc>
          <w:tcPr>
            <w:tcW w:w="960" w:type="dxa"/>
            <w:tcBorders>
              <w:top w:val="nil"/>
              <w:left w:val="nil"/>
              <w:bottom w:val="nil"/>
              <w:right w:val="nil"/>
            </w:tcBorders>
            <w:shd w:val="clear" w:color="auto" w:fill="auto"/>
            <w:noWrap/>
            <w:vAlign w:val="bottom"/>
            <w:hideMark/>
          </w:tcPr>
          <w:p w14:paraId="3A21F5AB" w14:textId="77777777" w:rsidR="00D136A1" w:rsidRPr="00D136A1" w:rsidRDefault="00D136A1" w:rsidP="00D136A1">
            <w:pPr>
              <w:spacing w:after="0" w:line="240" w:lineRule="auto"/>
              <w:ind w:left="0" w:firstLine="0"/>
              <w:rPr>
                <w:rFonts w:ascii="Calibri" w:hAnsi="Calibri" w:cs="Calibri"/>
                <w:sz w:val="22"/>
              </w:rPr>
            </w:pPr>
          </w:p>
        </w:tc>
      </w:tr>
    </w:tbl>
    <w:p w14:paraId="3065F3AB" w14:textId="4497990E" w:rsidR="009578EB" w:rsidRDefault="009578EB" w:rsidP="00D26117">
      <w:pPr>
        <w:ind w:left="-10" w:firstLine="0"/>
        <w:jc w:val="both"/>
      </w:pPr>
    </w:p>
    <w:p w14:paraId="06D79950" w14:textId="77777777" w:rsidR="00D136A1" w:rsidRDefault="00D136A1" w:rsidP="00D26117">
      <w:pPr>
        <w:ind w:left="-10" w:firstLine="0"/>
        <w:jc w:val="both"/>
      </w:pPr>
    </w:p>
    <w:p w14:paraId="5A188669" w14:textId="6D996288" w:rsidR="0058293D" w:rsidRPr="00D26117" w:rsidRDefault="009578EB" w:rsidP="00D26117">
      <w:pPr>
        <w:ind w:left="-10" w:firstLine="0"/>
        <w:jc w:val="both"/>
      </w:pPr>
      <w:r>
        <w:t>O</w:t>
      </w:r>
      <w:r w:rsidR="006E51F3">
        <w:t>bjekt</w:t>
      </w:r>
      <w:r>
        <w:t>y</w:t>
      </w:r>
      <w:r w:rsidR="00D26117" w:rsidRPr="00D26117">
        <w:t xml:space="preserve"> bude mít vlastní měření</w:t>
      </w:r>
      <w:r w:rsidR="00D26117">
        <w:t xml:space="preserve"> osazené v pilíři před domem</w:t>
      </w:r>
      <w:r w:rsidR="00D26117" w:rsidRPr="00D26117">
        <w:t>.</w:t>
      </w:r>
    </w:p>
    <w:p w14:paraId="79E9482D" w14:textId="5F576AAC" w:rsidR="00763302" w:rsidRDefault="0058293D" w:rsidP="00763302">
      <w:pPr>
        <w:ind w:left="-10" w:firstLine="0"/>
        <w:jc w:val="both"/>
      </w:pPr>
      <w:r>
        <w:t>Materiál</w:t>
      </w:r>
      <w:r w:rsidR="001F1463">
        <w:t xml:space="preserve"> </w:t>
      </w:r>
      <w:r>
        <w:t>přípojky –PE-100 SDR 11</w:t>
      </w:r>
      <w:r w:rsidR="009578EB">
        <w:t>RC</w:t>
      </w:r>
      <w:r>
        <w:t xml:space="preserve"> s ochranným pláštěm </w:t>
      </w:r>
      <w:r w:rsidR="009578EB">
        <w:t>DN</w:t>
      </w:r>
      <w:r>
        <w:t xml:space="preserve"> </w:t>
      </w:r>
      <w:r w:rsidR="009578EB">
        <w:t>63 a přípojky DN32</w:t>
      </w:r>
      <w:r>
        <w:t>, v</w:t>
      </w:r>
      <w:r w:rsidR="00763302">
        <w:t> </w:t>
      </w:r>
      <w:r>
        <w:t>délce</w:t>
      </w:r>
      <w:r w:rsidR="00763302">
        <w:t>:</w:t>
      </w:r>
    </w:p>
    <w:p w14:paraId="65EEB39B" w14:textId="55D717AF" w:rsidR="009578EB" w:rsidRPr="00D26117" w:rsidRDefault="009578EB" w:rsidP="009578EB">
      <w:pPr>
        <w:ind w:left="-10" w:firstLine="0"/>
        <w:jc w:val="both"/>
        <w:rPr>
          <w:b/>
          <w:bCs/>
        </w:rPr>
      </w:pPr>
      <w:r>
        <w:rPr>
          <w:b/>
          <w:bCs/>
        </w:rPr>
        <w:t xml:space="preserve"> </w:t>
      </w:r>
      <w:r w:rsidRPr="00D26117">
        <w:rPr>
          <w:b/>
          <w:bCs/>
        </w:rPr>
        <w:t xml:space="preserve">vodorovná část </w:t>
      </w:r>
      <w:r>
        <w:rPr>
          <w:b/>
          <w:bCs/>
        </w:rPr>
        <w:t>DN63</w:t>
      </w:r>
      <w:r w:rsidRPr="00D26117">
        <w:rPr>
          <w:b/>
          <w:bCs/>
        </w:rPr>
        <w:tab/>
      </w:r>
      <w:r w:rsidR="00D136A1">
        <w:rPr>
          <w:b/>
          <w:bCs/>
        </w:rPr>
        <w:t>341</w:t>
      </w:r>
      <w:r>
        <w:rPr>
          <w:b/>
          <w:bCs/>
        </w:rPr>
        <w:t>,</w:t>
      </w:r>
      <w:r w:rsidR="00D136A1">
        <w:rPr>
          <w:b/>
          <w:bCs/>
        </w:rPr>
        <w:t>3</w:t>
      </w:r>
      <w:r w:rsidRPr="00D26117">
        <w:rPr>
          <w:b/>
          <w:bCs/>
        </w:rPr>
        <w:t>m</w:t>
      </w:r>
    </w:p>
    <w:p w14:paraId="0582E4FB" w14:textId="53D8F1D7" w:rsidR="00763302" w:rsidRPr="00D26117" w:rsidRDefault="00763302" w:rsidP="00763302">
      <w:pPr>
        <w:ind w:left="-10" w:firstLine="0"/>
        <w:jc w:val="both"/>
        <w:rPr>
          <w:b/>
          <w:bCs/>
        </w:rPr>
      </w:pPr>
      <w:r w:rsidRPr="00D26117">
        <w:rPr>
          <w:b/>
          <w:bCs/>
        </w:rPr>
        <w:t xml:space="preserve"> </w:t>
      </w:r>
      <w:r w:rsidR="0058293D" w:rsidRPr="00D26117">
        <w:rPr>
          <w:b/>
          <w:bCs/>
        </w:rPr>
        <w:t xml:space="preserve">vodorovná </w:t>
      </w:r>
      <w:r w:rsidRPr="00D26117">
        <w:rPr>
          <w:b/>
          <w:bCs/>
        </w:rPr>
        <w:t xml:space="preserve">část </w:t>
      </w:r>
      <w:r w:rsidR="009578EB">
        <w:rPr>
          <w:b/>
          <w:bCs/>
        </w:rPr>
        <w:t>DN32</w:t>
      </w:r>
      <w:r w:rsidRPr="00D26117">
        <w:rPr>
          <w:b/>
          <w:bCs/>
        </w:rPr>
        <w:tab/>
      </w:r>
      <w:r w:rsidR="00D136A1">
        <w:rPr>
          <w:b/>
          <w:bCs/>
        </w:rPr>
        <w:t>63</w:t>
      </w:r>
      <w:r w:rsidR="009578EB">
        <w:rPr>
          <w:b/>
          <w:bCs/>
        </w:rPr>
        <w:t>,</w:t>
      </w:r>
      <w:r w:rsidR="00D136A1">
        <w:rPr>
          <w:b/>
          <w:bCs/>
        </w:rPr>
        <w:t>5</w:t>
      </w:r>
      <w:r w:rsidRPr="00D26117">
        <w:rPr>
          <w:b/>
          <w:bCs/>
        </w:rPr>
        <w:t>m</w:t>
      </w:r>
    </w:p>
    <w:p w14:paraId="78DA0146" w14:textId="77777777" w:rsidR="00D136A1" w:rsidRDefault="00D136A1" w:rsidP="0058293D">
      <w:pPr>
        <w:ind w:left="-10" w:firstLine="0"/>
        <w:jc w:val="both"/>
      </w:pPr>
    </w:p>
    <w:p w14:paraId="6F5B23E0" w14:textId="44C29BA6" w:rsidR="005A799A" w:rsidRDefault="005A799A" w:rsidP="0058293D">
      <w:pPr>
        <w:ind w:left="-10" w:firstLine="0"/>
        <w:jc w:val="both"/>
      </w:pPr>
      <w:r>
        <w:t xml:space="preserve">Materiál a frakce </w:t>
      </w:r>
      <w:proofErr w:type="gramStart"/>
      <w:r>
        <w:t>podsypu  -</w:t>
      </w:r>
      <w:proofErr w:type="gramEnd"/>
      <w:r>
        <w:t xml:space="preserve"> kopaný písek frakce 0-16mm tl.10cm</w:t>
      </w:r>
    </w:p>
    <w:p w14:paraId="167C3878" w14:textId="77777777" w:rsidR="005A799A" w:rsidRDefault="005A799A" w:rsidP="0058293D">
      <w:pPr>
        <w:ind w:left="-10" w:firstLine="0"/>
        <w:jc w:val="both"/>
      </w:pPr>
      <w:r>
        <w:t>Mat</w:t>
      </w:r>
      <w:r w:rsidR="00D26117">
        <w:t>e</w:t>
      </w:r>
      <w:r>
        <w:t>riál obsypu</w:t>
      </w:r>
      <w:proofErr w:type="gramStart"/>
      <w:r>
        <w:t>-  kopaný</w:t>
      </w:r>
      <w:proofErr w:type="gramEnd"/>
      <w:r>
        <w:t xml:space="preserve"> písek 0-16mm tl.300m nad vrchol potrubí</w:t>
      </w:r>
    </w:p>
    <w:p w14:paraId="368F233E" w14:textId="77777777" w:rsidR="005A799A" w:rsidRDefault="005A799A" w:rsidP="0058293D">
      <w:pPr>
        <w:ind w:left="-10" w:firstLine="0"/>
        <w:jc w:val="both"/>
      </w:pPr>
      <w:r>
        <w:t>Výstražná folie žluté barvy š.</w:t>
      </w:r>
      <w:proofErr w:type="gramStart"/>
      <w:r>
        <w:t>30cm</w:t>
      </w:r>
      <w:proofErr w:type="gramEnd"/>
      <w:r>
        <w:t xml:space="preserve"> bude uložena na vrstvu obsypu (30cm nad vrchol potrubí)</w:t>
      </w:r>
    </w:p>
    <w:p w14:paraId="2C47DE96" w14:textId="77777777" w:rsidR="005A799A" w:rsidRDefault="005A799A" w:rsidP="0058293D">
      <w:pPr>
        <w:ind w:left="-10" w:firstLine="0"/>
        <w:jc w:val="both"/>
      </w:pPr>
      <w:r>
        <w:t xml:space="preserve">Krytí přípojky bude min. </w:t>
      </w:r>
      <w:r w:rsidR="00794BC1">
        <w:t>1,1m v komunikacích a 0,9m v nezpevněných plochách.</w:t>
      </w:r>
    </w:p>
    <w:p w14:paraId="5C32EAE5" w14:textId="37A42E9D" w:rsidR="00794BC1" w:rsidRDefault="00794BC1" w:rsidP="0058293D">
      <w:pPr>
        <w:ind w:left="-10" w:firstLine="0"/>
        <w:jc w:val="both"/>
      </w:pPr>
      <w:r>
        <w:t>Šířka výkopu bude 0,8m. Fakturační měřidlo bude pro každý byt osazeno v samostatném pilíři: Rozměry niky pro osazení plynoměru jsou 700x600x350mm. Před a za plynoměrem</w:t>
      </w:r>
      <w:r w:rsidR="00D26117">
        <w:t xml:space="preserve"> </w:t>
      </w:r>
      <w:r>
        <w:t>bude osazen kulový koho</w:t>
      </w:r>
      <w:r w:rsidR="00D26117">
        <w:t xml:space="preserve">ut. </w:t>
      </w:r>
    </w:p>
    <w:p w14:paraId="286A3B32" w14:textId="77777777" w:rsidR="00D26117" w:rsidRDefault="00D26117" w:rsidP="00D26117">
      <w:pPr>
        <w:spacing w:after="13" w:line="268" w:lineRule="auto"/>
        <w:ind w:left="-15" w:right="273" w:firstLine="427"/>
        <w:jc w:val="both"/>
      </w:pPr>
      <w:r>
        <w:t xml:space="preserve">Při provádění výkopů v blízkosti stožárů el. vedení, osvětlení a telefonního vedení je nutno </w:t>
      </w:r>
      <w:proofErr w:type="gramStart"/>
      <w:r>
        <w:t>zajistit  stabilitu</w:t>
      </w:r>
      <w:proofErr w:type="gramEnd"/>
      <w:r>
        <w:t xml:space="preserve"> stožárů vzepřením, nebo zajištěním táhly. Zajištění musí být provedeno v koordinaci s provozovatelem. </w:t>
      </w:r>
    </w:p>
    <w:p w14:paraId="0E6DA524" w14:textId="77777777" w:rsidR="00D26117" w:rsidRDefault="00D26117" w:rsidP="00D26117">
      <w:pPr>
        <w:ind w:left="-15" w:right="273" w:firstLine="427"/>
      </w:pPr>
      <w:r>
        <w:lastRenderedPageBreak/>
        <w:t xml:space="preserve">Kabely a potrubí ve výkopu musí být zavěšeny a obedněny fošnovým krytem, zavěšeným na příčný trám přes výkop. </w:t>
      </w:r>
    </w:p>
    <w:p w14:paraId="1F64FD7E" w14:textId="77777777" w:rsidR="00D26117" w:rsidRDefault="00D26117" w:rsidP="00D26117">
      <w:pPr>
        <w:ind w:left="-15" w:right="273" w:firstLine="427"/>
      </w:pPr>
      <w:r>
        <w:t xml:space="preserve">Křížení s kanalizací bude v případě průchodu pod kanalizací opatřeno chráničkou o přesahu </w:t>
      </w:r>
      <w:proofErr w:type="gramStart"/>
      <w:r>
        <w:t>1m</w:t>
      </w:r>
      <w:proofErr w:type="gramEnd"/>
      <w:r>
        <w:t xml:space="preserve"> na </w:t>
      </w:r>
      <w:proofErr w:type="spellStart"/>
      <w:r>
        <w:t>kadou</w:t>
      </w:r>
      <w:proofErr w:type="spellEnd"/>
      <w:r>
        <w:t xml:space="preserve"> stranu od kraje potrubí.</w:t>
      </w:r>
    </w:p>
    <w:p w14:paraId="005D9315" w14:textId="0275E62D" w:rsidR="0058293D" w:rsidRDefault="00763302" w:rsidP="00763302">
      <w:pPr>
        <w:ind w:left="0"/>
        <w:jc w:val="both"/>
      </w:pPr>
      <w:r>
        <w:t>N</w:t>
      </w:r>
      <w:r w:rsidR="0058293D">
        <w:t>apojení na stávající plynárenské zařízení</w:t>
      </w:r>
      <w:r>
        <w:t xml:space="preserve"> PE63bude provedeno pomocí navrtávacího elektro T-kusu PE </w:t>
      </w:r>
      <w:proofErr w:type="spellStart"/>
      <w:r>
        <w:t>dn</w:t>
      </w:r>
      <w:proofErr w:type="spellEnd"/>
      <w:r>
        <w:t xml:space="preserve"> </w:t>
      </w:r>
      <w:r w:rsidR="006E51F3">
        <w:t>160</w:t>
      </w:r>
      <w:r>
        <w:t>/32.</w:t>
      </w:r>
      <w:r w:rsidR="0058293D">
        <w:t xml:space="preserve"> </w:t>
      </w:r>
    </w:p>
    <w:p w14:paraId="20E04AF9" w14:textId="13139D1D" w:rsidR="0058293D" w:rsidRDefault="00763302" w:rsidP="00763302">
      <w:pPr>
        <w:ind w:left="0"/>
        <w:jc w:val="both"/>
      </w:pPr>
      <w:r>
        <w:t>S</w:t>
      </w:r>
      <w:r w:rsidR="0058293D">
        <w:t xml:space="preserve">pojení vodorovné a svislé části přípojky </w:t>
      </w:r>
      <w:r>
        <w:t>bude provedeno</w:t>
      </w:r>
      <w:r w:rsidR="0058293D">
        <w:t xml:space="preserve"> pomocí elektro kolena PE 100 SDR 11</w:t>
      </w:r>
      <w:r w:rsidR="009578EB">
        <w:t>RC</w:t>
      </w:r>
      <w:r w:rsidR="0058293D">
        <w:t xml:space="preserve"> </w:t>
      </w:r>
      <w:proofErr w:type="spellStart"/>
      <w:r w:rsidR="0058293D">
        <w:t>dn</w:t>
      </w:r>
      <w:proofErr w:type="spellEnd"/>
      <w:r w:rsidR="0058293D">
        <w:t xml:space="preserve"> </w:t>
      </w:r>
      <w:proofErr w:type="gramStart"/>
      <w:r w:rsidR="0058293D">
        <w:t>32-90st</w:t>
      </w:r>
      <w:proofErr w:type="gramEnd"/>
      <w:r w:rsidR="0058293D">
        <w:t>.</w:t>
      </w:r>
    </w:p>
    <w:p w14:paraId="57A8EABB" w14:textId="027F9D7C" w:rsidR="0058293D" w:rsidRDefault="00763302" w:rsidP="00763302">
      <w:pPr>
        <w:ind w:left="0"/>
        <w:jc w:val="both"/>
      </w:pPr>
      <w:r>
        <w:t xml:space="preserve">Ochranná trubka svislé části plynovodu bude provedena z PP DN </w:t>
      </w:r>
      <w:r w:rsidR="00D136A1">
        <w:t>9</w:t>
      </w:r>
      <w:r>
        <w:t xml:space="preserve">0. </w:t>
      </w:r>
    </w:p>
    <w:p w14:paraId="0641D99C" w14:textId="77777777" w:rsidR="00763302" w:rsidRDefault="00763302" w:rsidP="00763302">
      <w:pPr>
        <w:jc w:val="both"/>
        <w:rPr>
          <w:color w:val="auto"/>
          <w:sz w:val="22"/>
        </w:rPr>
      </w:pPr>
      <w:r>
        <w:rPr>
          <w:rFonts w:cs="Courier New"/>
        </w:rPr>
        <w:t xml:space="preserve">Signalizační vodič se ukládá vždy souběžně na všech PE plynovodech a plynovodních přípojkách ve smyslu TPG 702 01. Barva signalizačního vodiče nesmí být zaměnitelná s uzemňovacím vodičem (zeleno-žlutá). V konkrétních případech lze řešit např. ovinutím izolované části konce signalizačního vodiče izolační páskou např. červené barvy.  Minimální průřez vodiče je 2,5 mm2, provedení </w:t>
      </w:r>
      <w:proofErr w:type="gramStart"/>
      <w:r>
        <w:rPr>
          <w:rFonts w:cs="Courier New"/>
        </w:rPr>
        <w:t>CYY(</w:t>
      </w:r>
      <w:proofErr w:type="gramEnd"/>
      <w:r>
        <w:rPr>
          <w:rFonts w:cs="Courier New"/>
        </w:rPr>
        <w:t>plný měděný vodič + pracovní + vnější izolace)</w:t>
      </w:r>
    </w:p>
    <w:p w14:paraId="2745E8B3" w14:textId="77777777" w:rsidR="00763302" w:rsidRDefault="00763302" w:rsidP="00763302">
      <w:pPr>
        <w:jc w:val="both"/>
      </w:pPr>
      <w:r>
        <w:rPr>
          <w:rFonts w:cs="Courier New"/>
        </w:rPr>
        <w:t xml:space="preserve">Připojení signalizačního vodiče plynovodní přípojky nebo odbočky na signalizační vodič plynovodu se provádí tak, aby signalizační vodič plynovodu nebyl přerušen. Spoj musí být vodivý, musí být proveden pájením nebo mechanickou svorkou a musí být izolován. Funkce signalizačního vodiče musí být před předáním stavby ověřena. Konce signalizačních vodičů u jednotlivých plynovodních přípojek budou ukončeny v objektech HUP. Konce signalizačních vodičů ve skříni HUP budou odizolovány a uchyceny např. </w:t>
      </w:r>
      <w:proofErr w:type="spellStart"/>
      <w:r>
        <w:rPr>
          <w:rFonts w:cs="Courier New"/>
        </w:rPr>
        <w:t>bernard</w:t>
      </w:r>
      <w:proofErr w:type="spellEnd"/>
      <w:r>
        <w:rPr>
          <w:rFonts w:cs="Courier New"/>
        </w:rPr>
        <w:t xml:space="preserve"> svorkou (signalizační vodič musí být „volný nenapnutý“), tak aby signalizační vodič nebyl vodivě propojen na OPZ. Délka signalizačního vodiče ve skříni HUP bude cca 30 cm. Pokud bude </w:t>
      </w:r>
      <w:proofErr w:type="spellStart"/>
      <w:r>
        <w:rPr>
          <w:rFonts w:cs="Courier New"/>
        </w:rPr>
        <w:t>bernard</w:t>
      </w:r>
      <w:proofErr w:type="spellEnd"/>
      <w:r>
        <w:rPr>
          <w:rFonts w:cs="Courier New"/>
        </w:rPr>
        <w:t xml:space="preserve"> svorka upevněna na PE, musí být pod </w:t>
      </w:r>
      <w:proofErr w:type="spellStart"/>
      <w:r>
        <w:rPr>
          <w:rFonts w:cs="Courier New"/>
        </w:rPr>
        <w:t>dotahovacím</w:t>
      </w:r>
      <w:proofErr w:type="spellEnd"/>
      <w:r>
        <w:rPr>
          <w:rFonts w:cs="Courier New"/>
        </w:rPr>
        <w:t xml:space="preserve"> páskem podložka po celém obvodu, aby nedošlo k poškození PE</w:t>
      </w:r>
    </w:p>
    <w:p w14:paraId="3FFCE941" w14:textId="77777777" w:rsidR="00D26117" w:rsidRDefault="00D26117" w:rsidP="00763302">
      <w:pPr>
        <w:ind w:left="0"/>
        <w:jc w:val="both"/>
      </w:pPr>
    </w:p>
    <w:p w14:paraId="648D2E5D" w14:textId="77777777" w:rsidR="00763302" w:rsidRPr="00D26117" w:rsidRDefault="00D26117" w:rsidP="00763302">
      <w:pPr>
        <w:ind w:left="0"/>
        <w:jc w:val="both"/>
        <w:rPr>
          <w:b/>
          <w:bCs/>
        </w:rPr>
      </w:pPr>
      <w:r w:rsidRPr="00D26117">
        <w:rPr>
          <w:b/>
          <w:bCs/>
        </w:rPr>
        <w:t>Tlakové zkoušky:</w:t>
      </w:r>
    </w:p>
    <w:p w14:paraId="17389821" w14:textId="77777777" w:rsidR="00D26117" w:rsidRPr="00D62345" w:rsidRDefault="00D26117" w:rsidP="00D26117">
      <w:pPr>
        <w:ind w:left="0"/>
        <w:jc w:val="both"/>
      </w:pPr>
      <w:r w:rsidRPr="00D26117">
        <w:rPr>
          <w:rFonts w:cs="Courier New"/>
        </w:rPr>
        <w:t>Tlakové zkoušky PP musí být provedeny dle ČSN EN 12327 a v souladu s TPG 702 01</w:t>
      </w:r>
    </w:p>
    <w:p w14:paraId="7130E481" w14:textId="77777777" w:rsidR="00D26117" w:rsidRPr="00D26117" w:rsidRDefault="00D26117" w:rsidP="00D26117">
      <w:pPr>
        <w:ind w:left="0"/>
        <w:jc w:val="both"/>
        <w:rPr>
          <w:rFonts w:cs="Courier New"/>
          <w:b/>
          <w:bCs/>
        </w:rPr>
      </w:pPr>
      <w:r>
        <w:rPr>
          <w:rFonts w:cs="Courier New"/>
          <w:b/>
          <w:bCs/>
        </w:rPr>
        <w:t>Provádění m</w:t>
      </w:r>
      <w:r w:rsidRPr="00D26117">
        <w:rPr>
          <w:rFonts w:cs="Courier New"/>
          <w:b/>
          <w:bCs/>
        </w:rPr>
        <w:t>ontážní</w:t>
      </w:r>
      <w:r>
        <w:rPr>
          <w:rFonts w:cs="Courier New"/>
          <w:b/>
          <w:bCs/>
        </w:rPr>
        <w:t>ch</w:t>
      </w:r>
      <w:r w:rsidRPr="00D26117">
        <w:rPr>
          <w:rFonts w:cs="Courier New"/>
          <w:b/>
          <w:bCs/>
        </w:rPr>
        <w:t xml:space="preserve"> </w:t>
      </w:r>
      <w:proofErr w:type="spellStart"/>
      <w:r w:rsidRPr="00D26117">
        <w:rPr>
          <w:rFonts w:cs="Courier New"/>
          <w:b/>
          <w:bCs/>
        </w:rPr>
        <w:t>prác</w:t>
      </w:r>
      <w:r>
        <w:rPr>
          <w:rFonts w:cs="Courier New"/>
          <w:b/>
          <w:bCs/>
        </w:rPr>
        <w:t>í</w:t>
      </w:r>
      <w:proofErr w:type="spellEnd"/>
      <w:r w:rsidRPr="00D26117">
        <w:rPr>
          <w:rFonts w:cs="Courier New"/>
          <w:b/>
          <w:bCs/>
        </w:rPr>
        <w:t>:</w:t>
      </w:r>
    </w:p>
    <w:p w14:paraId="7BBB23BE" w14:textId="77777777" w:rsidR="00D26117" w:rsidRPr="00D26117" w:rsidRDefault="00D26117" w:rsidP="00D26117">
      <w:pPr>
        <w:ind w:left="0"/>
        <w:jc w:val="both"/>
        <w:rPr>
          <w:rFonts w:cs="Courier New"/>
        </w:rPr>
      </w:pPr>
      <w:r w:rsidRPr="00D26117">
        <w:rPr>
          <w:rFonts w:cs="Courier New"/>
        </w:rPr>
        <w:t>Montážní práce a propojovací práce na místních sítích smí provádět výhradně organizace certifikované dle TPG 923 01. Kvalifikace musí odpovídat typu PZ dle certifikačního rozsahu (ocel, plast, dimenze) a prováděné činnosti.</w:t>
      </w:r>
    </w:p>
    <w:p w14:paraId="55572C07" w14:textId="77777777" w:rsidR="00CF7668" w:rsidRDefault="00CF7668">
      <w:pPr>
        <w:spacing w:after="0" w:line="259" w:lineRule="auto"/>
        <w:ind w:left="427" w:firstLine="0"/>
      </w:pPr>
    </w:p>
    <w:p w14:paraId="5E008F79" w14:textId="77777777" w:rsidR="00D26117" w:rsidRDefault="00D26117" w:rsidP="00D26117">
      <w:pPr>
        <w:spacing w:after="0" w:line="259" w:lineRule="auto"/>
        <w:ind w:left="427" w:firstLine="0"/>
      </w:pPr>
    </w:p>
    <w:p w14:paraId="568CF7A3" w14:textId="77777777" w:rsidR="00CF7668" w:rsidRDefault="001F1463">
      <w:pPr>
        <w:pStyle w:val="Nadpis2"/>
        <w:ind w:left="422"/>
      </w:pPr>
      <w:r>
        <w:t>BEZPEČNOST PRÁCE</w:t>
      </w:r>
      <w:r>
        <w:rPr>
          <w:u w:val="none"/>
        </w:rPr>
        <w:t xml:space="preserve"> </w:t>
      </w:r>
    </w:p>
    <w:p w14:paraId="79050A85" w14:textId="77777777" w:rsidR="00CF7668" w:rsidRDefault="001F1463">
      <w:pPr>
        <w:ind w:left="-15" w:right="273" w:firstLine="427"/>
      </w:pPr>
      <w:r>
        <w:t xml:space="preserve">Při provádění stavby je nutno dodržovat veškeré příslušné bezpečnostní předpisy, nařízení a opatření související s výstavbou vodovodu. </w:t>
      </w:r>
    </w:p>
    <w:p w14:paraId="51717625" w14:textId="77777777" w:rsidR="00CF7668" w:rsidRDefault="001F1463">
      <w:pPr>
        <w:ind w:left="437" w:right="273"/>
      </w:pPr>
      <w:r>
        <w:t xml:space="preserve">Dodržování příslušných norem a předpisů je pro dodavatele závazné. </w:t>
      </w:r>
    </w:p>
    <w:p w14:paraId="08CE3D97" w14:textId="77777777" w:rsidR="00CF7668" w:rsidRDefault="001F1463">
      <w:pPr>
        <w:ind w:left="-15" w:right="273" w:firstLine="427"/>
      </w:pPr>
      <w:r>
        <w:t xml:space="preserve">Dodavatel musí mít zajištěny ochranné pomůcky pro všechny pracovníky, dále základní vybavení pro poskytnutí první pomoci při úrazu. </w:t>
      </w:r>
    </w:p>
    <w:p w14:paraId="6B1D7CA8" w14:textId="77777777" w:rsidR="00CF7668" w:rsidRDefault="001F1463">
      <w:pPr>
        <w:ind w:left="-15" w:right="273" w:firstLine="427"/>
      </w:pPr>
      <w:r>
        <w:t xml:space="preserve">Dodavatel zajistí takové organizační opatření, aby byly při realizaci stavby respektovány základní bezpečnostní předpisy pro stavební práce ve smyslu Vyhlášky Českého úřadu bezpečnosti práce a Českého báňského úřadu o bezpečnosti práce a technických zařízeních při stavebních pracích. </w:t>
      </w:r>
    </w:p>
    <w:p w14:paraId="654418B6" w14:textId="77777777" w:rsidR="00CF7668" w:rsidRDefault="001F1463">
      <w:pPr>
        <w:ind w:left="-15" w:right="273" w:firstLine="360"/>
      </w:pPr>
      <w:r>
        <w:t xml:space="preserve">Požadavky na bezpečnost a ochranu zdraví při práci musí být zajištěny ve smyslu následujících předpisů: </w:t>
      </w:r>
    </w:p>
    <w:p w14:paraId="0074FCAD" w14:textId="77777777" w:rsidR="00CF7668" w:rsidRDefault="001F1463">
      <w:pPr>
        <w:ind w:left="-5" w:right="273"/>
      </w:pPr>
      <w:r>
        <w:rPr>
          <w:b/>
        </w:rPr>
        <w:t>Zákon</w:t>
      </w:r>
      <w: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30E244F" w14:textId="77777777" w:rsidR="00CF7668" w:rsidRDefault="001F1463">
      <w:pPr>
        <w:ind w:left="-5" w:right="273"/>
      </w:pPr>
      <w:r>
        <w:rPr>
          <w:b/>
        </w:rPr>
        <w:t xml:space="preserve">Zákon </w:t>
      </w:r>
      <w:r>
        <w:t xml:space="preserve">č. 262/2006 Sb., zákoník práce, v platném znění.  </w:t>
      </w:r>
    </w:p>
    <w:p w14:paraId="7093ABA9" w14:textId="77777777" w:rsidR="00CF7668" w:rsidRDefault="001F1463">
      <w:pPr>
        <w:ind w:left="-5" w:right="273"/>
      </w:pPr>
      <w:r>
        <w:rPr>
          <w:b/>
        </w:rPr>
        <w:t>Zákon</w:t>
      </w:r>
      <w:r>
        <w:t xml:space="preserve"> č. 183/2006 Sb., zákon o územním plánování a stavebním řádu (stavební zákon).  </w:t>
      </w:r>
    </w:p>
    <w:p w14:paraId="6C2D6A3D" w14:textId="77777777" w:rsidR="00CF7668" w:rsidRDefault="001F1463">
      <w:pPr>
        <w:ind w:left="-5" w:right="273"/>
      </w:pPr>
      <w:r>
        <w:rPr>
          <w:b/>
        </w:rPr>
        <w:t xml:space="preserve">Zákon </w:t>
      </w:r>
      <w:r>
        <w:t xml:space="preserve">č. 251/2005 Sb., o inspekci práce, v platném znění. </w:t>
      </w:r>
    </w:p>
    <w:p w14:paraId="2551A7B7" w14:textId="77777777" w:rsidR="00CF7668" w:rsidRDefault="001F1463">
      <w:pPr>
        <w:ind w:left="-5" w:right="273"/>
      </w:pPr>
      <w:r>
        <w:rPr>
          <w:b/>
        </w:rPr>
        <w:lastRenderedPageBreak/>
        <w:t>Zákon</w:t>
      </w:r>
      <w:r>
        <w:t xml:space="preserve"> č. 500/2004 Sb., správní řád, v platném znění.   </w:t>
      </w:r>
    </w:p>
    <w:p w14:paraId="489BCD34" w14:textId="77777777" w:rsidR="00CF7668" w:rsidRDefault="001F1463">
      <w:pPr>
        <w:ind w:left="-5" w:right="273"/>
      </w:pPr>
      <w:r>
        <w:rPr>
          <w:b/>
        </w:rPr>
        <w:t xml:space="preserve">Zákon </w:t>
      </w:r>
      <w:r>
        <w:t xml:space="preserve">č. 356/2003 Sb., o chemických látkách a chemických přípravcích, v platném znění.   </w:t>
      </w:r>
      <w:r>
        <w:rPr>
          <w:b/>
        </w:rPr>
        <w:t xml:space="preserve">Zákon </w:t>
      </w:r>
      <w:r>
        <w:t xml:space="preserve">č. 185/2001 Sb., o odpadech a o změně některých dalších zákonů, v platném znění. </w:t>
      </w:r>
      <w:r>
        <w:rPr>
          <w:b/>
        </w:rPr>
        <w:t xml:space="preserve">Zákon </w:t>
      </w:r>
      <w:r>
        <w:t xml:space="preserve">č. 458/2000 Sb. o podmínkách podnikání a o výkonu státní správy v energetických odvětvích o změně některých zákonů (energetický zákon). </w:t>
      </w:r>
    </w:p>
    <w:p w14:paraId="1C1C26CC" w14:textId="77777777" w:rsidR="00CF7668" w:rsidRDefault="001F1463">
      <w:pPr>
        <w:ind w:left="-5" w:right="273"/>
      </w:pPr>
      <w:r>
        <w:rPr>
          <w:b/>
        </w:rPr>
        <w:t>Zákon</w:t>
      </w:r>
      <w:r>
        <w:t xml:space="preserve"> č. 258/2000 Sb., o ochraně veřejného zdraví, v platném znění. </w:t>
      </w:r>
    </w:p>
    <w:p w14:paraId="7F0930F4" w14:textId="77777777" w:rsidR="00CF7668" w:rsidRDefault="001F1463">
      <w:pPr>
        <w:ind w:left="-5" w:right="273"/>
      </w:pPr>
      <w:r>
        <w:rPr>
          <w:b/>
        </w:rPr>
        <w:t>Zákon</w:t>
      </w:r>
      <w:r>
        <w:t xml:space="preserve"> č. 22/1997 Sb., </w:t>
      </w:r>
      <w:proofErr w:type="gramStart"/>
      <w:r>
        <w:t>o  technických</w:t>
      </w:r>
      <w:proofErr w:type="gramEnd"/>
      <w:r>
        <w:t xml:space="preserve">  požadavcích  na  výrobky a o změně a doplnění některých zákonů, v platném znění.   </w:t>
      </w:r>
    </w:p>
    <w:p w14:paraId="1EA80078" w14:textId="77777777" w:rsidR="00CF7668" w:rsidRDefault="001F1463">
      <w:pPr>
        <w:ind w:left="-5" w:right="273"/>
      </w:pPr>
      <w:r>
        <w:rPr>
          <w:b/>
        </w:rPr>
        <w:t xml:space="preserve">Zákon </w:t>
      </w:r>
      <w:r>
        <w:t xml:space="preserve">č. 133/1985 Sb., o požární ochraně, v platném znění. </w:t>
      </w:r>
    </w:p>
    <w:p w14:paraId="2E26D0F0" w14:textId="77777777" w:rsidR="00CF7668" w:rsidRDefault="001F1463">
      <w:pPr>
        <w:ind w:left="-5" w:right="273"/>
      </w:pPr>
      <w:r>
        <w:rPr>
          <w:b/>
        </w:rPr>
        <w:t xml:space="preserve">Nařízení vlády </w:t>
      </w:r>
      <w:r>
        <w:t>č.</w:t>
      </w:r>
      <w:r>
        <w:rPr>
          <w:b/>
        </w:rPr>
        <w:t xml:space="preserve"> </w:t>
      </w:r>
      <w:r>
        <w:t xml:space="preserve">591/2006 Sb., o bližších minimálních požadavcích na bezpečnost a ochranu zdraví při práci na staveništích.   </w:t>
      </w:r>
    </w:p>
    <w:p w14:paraId="222A5CC2" w14:textId="77777777" w:rsidR="00CF7668" w:rsidRDefault="001F1463">
      <w:pPr>
        <w:ind w:left="-5" w:right="273"/>
      </w:pPr>
      <w:r>
        <w:rPr>
          <w:b/>
        </w:rPr>
        <w:t>Nařízení vlády</w:t>
      </w:r>
      <w:r>
        <w:t xml:space="preserve"> č. 589/2006 Sb., </w:t>
      </w:r>
      <w:proofErr w:type="gramStart"/>
      <w:r>
        <w:t>kterým  se</w:t>
      </w:r>
      <w:proofErr w:type="gramEnd"/>
      <w:r>
        <w:t xml:space="preserve">  stanoví odchylná úprava pracovní doby a doby odpočinku zaměstnanců v dopravě.  </w:t>
      </w:r>
    </w:p>
    <w:p w14:paraId="4E354296" w14:textId="77777777" w:rsidR="00CF7668" w:rsidRDefault="001F1463">
      <w:pPr>
        <w:ind w:left="-5" w:right="273"/>
      </w:pPr>
      <w:r>
        <w:rPr>
          <w:b/>
        </w:rPr>
        <w:t>Nařízení vlády</w:t>
      </w:r>
      <w:r>
        <w:t xml:space="preserve"> č. 362/2005 Sb., </w:t>
      </w:r>
      <w:proofErr w:type="gramStart"/>
      <w:r>
        <w:t>o  bližších</w:t>
      </w:r>
      <w:proofErr w:type="gramEnd"/>
      <w:r>
        <w:t xml:space="preserve">  požadavcích  na  bezpečnost a ochranu zdraví při práci na pracovištích s nebezpečím pádu z výšky nebo do hloubky.    </w:t>
      </w:r>
    </w:p>
    <w:p w14:paraId="6C48529A" w14:textId="77777777" w:rsidR="00CF7668" w:rsidRDefault="001F1463">
      <w:pPr>
        <w:ind w:left="-5" w:right="273"/>
      </w:pPr>
      <w:r>
        <w:rPr>
          <w:b/>
        </w:rPr>
        <w:t>Nařízení vlády</w:t>
      </w:r>
      <w:r>
        <w:t xml:space="preserve"> č. 101/2005 Sb., o podrobnějších požadavcích na pracoviště a pracovní prostředí </w:t>
      </w:r>
    </w:p>
    <w:p w14:paraId="2D95BD2E" w14:textId="77777777" w:rsidR="00CF7668" w:rsidRDefault="001F1463">
      <w:pPr>
        <w:ind w:left="-5" w:right="273"/>
      </w:pPr>
      <w:r>
        <w:rPr>
          <w:b/>
        </w:rPr>
        <w:t xml:space="preserve">Nařízení vlády </w:t>
      </w:r>
      <w:r>
        <w:t>č.</w:t>
      </w:r>
      <w:r>
        <w:rPr>
          <w:b/>
        </w:rPr>
        <w:t xml:space="preserve"> </w:t>
      </w:r>
      <w:r>
        <w:t xml:space="preserve">406/2004 Sb., o bližších požadavcích na bezpečnost a ochranu zdraví při práci v prostředí s nebezpečím výbuchu.   </w:t>
      </w:r>
    </w:p>
    <w:p w14:paraId="64876274" w14:textId="77777777" w:rsidR="00CF7668" w:rsidRDefault="001F1463">
      <w:pPr>
        <w:ind w:left="-5" w:right="273"/>
      </w:pPr>
      <w:r>
        <w:rPr>
          <w:b/>
        </w:rPr>
        <w:t>Nařízení vlády</w:t>
      </w:r>
      <w:r>
        <w:t xml:space="preserve"> č. 26/2003 Sb., </w:t>
      </w:r>
      <w:proofErr w:type="gramStart"/>
      <w:r>
        <w:t>kterou  se</w:t>
      </w:r>
      <w:proofErr w:type="gramEnd"/>
      <w:r>
        <w:t xml:space="preserve"> určují vyhrazená tlaková zařízení a stanoví některé podmínky k zajištění jejich bezpečnosti, v platném znění. </w:t>
      </w:r>
    </w:p>
    <w:p w14:paraId="38D8E6B0" w14:textId="77777777" w:rsidR="00CF7668" w:rsidRDefault="001F1463">
      <w:pPr>
        <w:ind w:left="-5" w:right="273"/>
      </w:pPr>
      <w:r>
        <w:rPr>
          <w:b/>
        </w:rPr>
        <w:t>Nařízení vlády</w:t>
      </w:r>
      <w:r>
        <w:t xml:space="preserve"> č. 21/2003 Sb., kterým se stanoví technické požadavky na osobní ochranné prostředky.  </w:t>
      </w:r>
    </w:p>
    <w:p w14:paraId="7416D303" w14:textId="77777777" w:rsidR="00CF7668" w:rsidRDefault="001F1463">
      <w:pPr>
        <w:ind w:left="-5" w:right="273"/>
      </w:pPr>
      <w:r>
        <w:rPr>
          <w:b/>
        </w:rPr>
        <w:t>Nařízení vlády</w:t>
      </w:r>
      <w:r>
        <w:t xml:space="preserve"> č. 168/2002 Sb., kterým se stanoví způsob organizace práce a pracovních postupů, které je zaměstnavatel povinen zajistit při provozování dopravy dopravními prostředky.   </w:t>
      </w:r>
    </w:p>
    <w:p w14:paraId="2AAA1B91" w14:textId="77777777" w:rsidR="00CF7668" w:rsidRDefault="001F1463">
      <w:pPr>
        <w:ind w:left="-5" w:right="273"/>
      </w:pPr>
      <w:r>
        <w:rPr>
          <w:b/>
        </w:rPr>
        <w:t xml:space="preserve">Nařízení vlády </w:t>
      </w:r>
      <w:r>
        <w:t xml:space="preserve">č. 163/2002 Sb., kterým se stanoví technické požadavky na vybrané stavební výrobky </w:t>
      </w:r>
    </w:p>
    <w:p w14:paraId="5AF05EB8" w14:textId="77777777" w:rsidR="00CF7668" w:rsidRDefault="001F1463">
      <w:pPr>
        <w:ind w:left="-5" w:right="273"/>
      </w:pPr>
      <w:r>
        <w:rPr>
          <w:b/>
        </w:rPr>
        <w:t xml:space="preserve">Nařízení vlády </w:t>
      </w:r>
      <w:r>
        <w:t xml:space="preserve">č. 28/2002 Sb., kterým se stanoví způsob organizace práce a pracovních postupů, které je zaměstnavatel povinen zajistit při práci v lese a na pracovištích obdobného charakteru.  </w:t>
      </w:r>
    </w:p>
    <w:p w14:paraId="526E98E7" w14:textId="77777777" w:rsidR="00CF7668" w:rsidRDefault="001F1463">
      <w:pPr>
        <w:ind w:left="-5" w:right="273"/>
      </w:pPr>
      <w:r>
        <w:rPr>
          <w:b/>
        </w:rPr>
        <w:t>Nařízení vlády</w:t>
      </w:r>
      <w:r>
        <w:t xml:space="preserve"> č. 11/2002 Sb., </w:t>
      </w:r>
      <w:proofErr w:type="gramStart"/>
      <w:r>
        <w:t>kterým  se</w:t>
      </w:r>
      <w:proofErr w:type="gramEnd"/>
      <w:r>
        <w:t xml:space="preserve">  stanoví  vzhled a umístění bezpečnostních značek a zavedení signálů, v platném znění </w:t>
      </w:r>
    </w:p>
    <w:p w14:paraId="77ECAA82" w14:textId="77777777" w:rsidR="00CF7668" w:rsidRDefault="001F1463">
      <w:pPr>
        <w:spacing w:after="13" w:line="268" w:lineRule="auto"/>
        <w:ind w:left="-15" w:right="273" w:firstLine="0"/>
        <w:jc w:val="both"/>
      </w:pPr>
      <w:r>
        <w:rPr>
          <w:b/>
        </w:rPr>
        <w:t>Nařízení vlády</w:t>
      </w:r>
      <w:r>
        <w:t xml:space="preserve"> č. 495/2001 Sb., </w:t>
      </w:r>
      <w:proofErr w:type="gramStart"/>
      <w:r>
        <w:t>kterým  se</w:t>
      </w:r>
      <w:proofErr w:type="gramEnd"/>
      <w:r>
        <w:t xml:space="preserve">  stanoví  rozsah  a  bližší  podmínky  poskytování  osobních ochranných  prostředků,  mycích, čisticích a dezinfekčních  prostředků. </w:t>
      </w:r>
      <w:r>
        <w:rPr>
          <w:b/>
        </w:rPr>
        <w:t>Nařízení vlády</w:t>
      </w:r>
      <w:r>
        <w:t xml:space="preserve"> č. 494/2001 Sb.</w:t>
      </w:r>
      <w:proofErr w:type="gramStart"/>
      <w:r>
        <w:t>,  kterým</w:t>
      </w:r>
      <w:proofErr w:type="gramEnd"/>
      <w:r>
        <w:t xml:space="preserve">  se stanoví způsob evidence, hlášení a zasílání záznamu o úrazu, vzor  záznamu  o  úrazu  a okruh orgánů a institucí, kterým se ohlašuje pracovní úraz a zasílá záznam o úrazu.  </w:t>
      </w:r>
    </w:p>
    <w:p w14:paraId="4D564033" w14:textId="77777777" w:rsidR="00CF7668" w:rsidRDefault="001F1463">
      <w:pPr>
        <w:ind w:left="-5" w:right="273"/>
      </w:pPr>
      <w:r>
        <w:rPr>
          <w:b/>
        </w:rPr>
        <w:t>Nařízení vlády</w:t>
      </w:r>
      <w:r>
        <w:t xml:space="preserve"> č. 378/2001 Sb., </w:t>
      </w:r>
      <w:proofErr w:type="gramStart"/>
      <w:r>
        <w:t>kterým  se</w:t>
      </w:r>
      <w:proofErr w:type="gramEnd"/>
      <w:r>
        <w:t xml:space="preserve">  stanoví  bližší  požadavky  na  bezpečný provoz a používání strojů, technických zařízení, přístrojů a  nářadí.   </w:t>
      </w:r>
    </w:p>
    <w:p w14:paraId="00E9D1DA" w14:textId="77777777" w:rsidR="00CF7668" w:rsidRDefault="001F1463">
      <w:pPr>
        <w:ind w:left="-5" w:right="273"/>
      </w:pPr>
      <w:r>
        <w:rPr>
          <w:b/>
        </w:rPr>
        <w:t>Nařízení vlády</w:t>
      </w:r>
      <w:r>
        <w:t xml:space="preserve"> č. 178/2001 Sb., kterým se stanoví podmínky ochrany zdraví zaměstnanců při práci.   </w:t>
      </w:r>
    </w:p>
    <w:p w14:paraId="25244C33" w14:textId="77777777" w:rsidR="00CF7668" w:rsidRDefault="001F1463">
      <w:pPr>
        <w:ind w:left="-5" w:right="273"/>
      </w:pPr>
      <w:r>
        <w:rPr>
          <w:b/>
        </w:rPr>
        <w:t>Vyhláška</w:t>
      </w:r>
      <w:r>
        <w:t xml:space="preserve"> Ministerstva pro místní rozvoj č. 526/2006 Sb., kterou se provádějí některá ustanovení stavebního zákona ve věcech stavebního řádu.</w:t>
      </w:r>
      <w:r>
        <w:rPr>
          <w:color w:val="339A65"/>
        </w:rPr>
        <w:t xml:space="preserve"> </w:t>
      </w:r>
    </w:p>
    <w:p w14:paraId="7C8BF640" w14:textId="77777777" w:rsidR="00CF7668" w:rsidRDefault="001F1463">
      <w:pPr>
        <w:spacing w:after="13" w:line="268" w:lineRule="auto"/>
        <w:ind w:left="-15" w:right="273" w:firstLine="0"/>
        <w:jc w:val="both"/>
      </w:pPr>
      <w:r>
        <w:rPr>
          <w:b/>
        </w:rPr>
        <w:t>Vyhláška</w:t>
      </w:r>
      <w:r>
        <w:t xml:space="preserve"> Ministerstva pro místní rozvoj č. 499/2006 Sb., o dokumentaci staveb.</w:t>
      </w:r>
      <w:r>
        <w:rPr>
          <w:color w:val="339A65"/>
        </w:rPr>
        <w:t xml:space="preserve"> </w:t>
      </w:r>
      <w:r>
        <w:rPr>
          <w:b/>
        </w:rPr>
        <w:t xml:space="preserve">Vyhláška </w:t>
      </w:r>
      <w:r>
        <w:t xml:space="preserve">č. 232/2004 Sb., kterou se provádějí některá ustanovení zákona o chemických látkách a chemických přípravcích a o změně některých zákonů, týkající se </w:t>
      </w:r>
      <w:proofErr w:type="spellStart"/>
      <w:proofErr w:type="gramStart"/>
      <w:r>
        <w:t>klasifikace,balení</w:t>
      </w:r>
      <w:proofErr w:type="spellEnd"/>
      <w:proofErr w:type="gramEnd"/>
      <w:r>
        <w:t xml:space="preserve"> a označování nebezpečných chemických látek a chemických přípravků, v platném znění. </w:t>
      </w:r>
      <w:r>
        <w:rPr>
          <w:b/>
        </w:rPr>
        <w:t>Vyhláška</w:t>
      </w:r>
      <w:r>
        <w:t xml:space="preserve"> č. 432/2003 Sb., </w:t>
      </w:r>
      <w:proofErr w:type="gramStart"/>
      <w:r>
        <w:t>kterou  se</w:t>
      </w:r>
      <w:proofErr w:type="gramEnd"/>
      <w:r>
        <w:t xml:space="preserv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w:t>
      </w:r>
    </w:p>
    <w:p w14:paraId="2072E3A9" w14:textId="77777777" w:rsidR="00CF7668" w:rsidRDefault="001F1463">
      <w:pPr>
        <w:ind w:left="-5" w:right="273"/>
      </w:pPr>
      <w:r>
        <w:rPr>
          <w:b/>
        </w:rPr>
        <w:t>Vyhláška</w:t>
      </w:r>
      <w:r>
        <w:t xml:space="preserve"> státního úřadu pro jadernou bezpečnost č. 307/2002 Sb. o radiační ochraně.   </w:t>
      </w:r>
      <w:r>
        <w:rPr>
          <w:b/>
        </w:rPr>
        <w:t>Vyhláška</w:t>
      </w:r>
      <w:r>
        <w:t xml:space="preserve"> Ministerstva vnitra č. 246/2001 Sb., </w:t>
      </w:r>
      <w:proofErr w:type="gramStart"/>
      <w:r>
        <w:t>o  stanovení</w:t>
      </w:r>
      <w:proofErr w:type="gramEnd"/>
      <w:r>
        <w:t xml:space="preserve">  podmínek  požární bezpečnosti a výkonu státního požárního dozoru, v platném znění. </w:t>
      </w:r>
    </w:p>
    <w:p w14:paraId="72948390" w14:textId="77777777" w:rsidR="00CF7668" w:rsidRDefault="001F1463">
      <w:pPr>
        <w:ind w:left="-5" w:right="273"/>
      </w:pPr>
      <w:r>
        <w:rPr>
          <w:b/>
        </w:rPr>
        <w:t>Vyhláška</w:t>
      </w:r>
      <w:r>
        <w:t xml:space="preserve"> Ministerstva vnitra č. 87/2000 Sb., kterou se stanoví podmínky požární bezpečnosti při svařování a nahřívání živic v tavných nádobách.  </w:t>
      </w:r>
    </w:p>
    <w:p w14:paraId="46881BDB" w14:textId="77777777" w:rsidR="00CF7668" w:rsidRDefault="001F1463">
      <w:pPr>
        <w:ind w:left="-5" w:right="273"/>
      </w:pPr>
      <w:r>
        <w:rPr>
          <w:b/>
        </w:rPr>
        <w:lastRenderedPageBreak/>
        <w:t>Vyhláška</w:t>
      </w:r>
      <w:r>
        <w:t xml:space="preserve"> Ministerstva pro místní rozvoj č. 137/1998 Sb., o obecných technických požadavcích na výstavbu, v platném znění.  </w:t>
      </w:r>
    </w:p>
    <w:p w14:paraId="6EA173CD" w14:textId="77777777" w:rsidR="00CF7668" w:rsidRDefault="001F1463">
      <w:pPr>
        <w:ind w:left="-5" w:right="273"/>
      </w:pPr>
      <w:r>
        <w:rPr>
          <w:b/>
        </w:rPr>
        <w:t>Vyhláška</w:t>
      </w:r>
      <w:r>
        <w:t xml:space="preserve"> č. 48/1982 Sb., kterou se stanoví základní požadavky k zajištění bezpečnosti práce a technických zařízení v platném znění.   </w:t>
      </w:r>
    </w:p>
    <w:p w14:paraId="42E4781B" w14:textId="77777777" w:rsidR="00CF7668" w:rsidRDefault="001F1463">
      <w:pPr>
        <w:ind w:left="-5" w:right="273"/>
      </w:pPr>
      <w:r>
        <w:rPr>
          <w:b/>
        </w:rPr>
        <w:t>Vyhláška</w:t>
      </w:r>
      <w:r>
        <w:t xml:space="preserve"> Českého úřadu bezpečnosti </w:t>
      </w:r>
      <w:proofErr w:type="gramStart"/>
      <w:r>
        <w:t>práce  č.</w:t>
      </w:r>
      <w:proofErr w:type="gramEnd"/>
      <w:r>
        <w:t xml:space="preserve"> 21/1979 </w:t>
      </w:r>
      <w:proofErr w:type="spellStart"/>
      <w:r>
        <w:t>Sb.,kterou</w:t>
      </w:r>
      <w:proofErr w:type="spellEnd"/>
      <w:r>
        <w:t xml:space="preserve">  se  určují vyhrazená plynová  zařízení a stanoví některé podmínky  k zajištění jejich bezpečnosti, v platném znění. </w:t>
      </w:r>
      <w:r>
        <w:rPr>
          <w:b/>
        </w:rPr>
        <w:t>Vyhláška</w:t>
      </w:r>
      <w:r>
        <w:t xml:space="preserve"> Českého úřadu bezpečnosti práce a Českého báňského úřadu č. 20/1979 Sb., </w:t>
      </w:r>
      <w:proofErr w:type="gramStart"/>
      <w:r>
        <w:t>kterou  se</w:t>
      </w:r>
      <w:proofErr w:type="gramEnd"/>
      <w:r>
        <w:t xml:space="preserve"> určují vyhrazená elektrická zařízení a stanoví některé podmínky k zajištění jejich bezpečnosti v platném znění. </w:t>
      </w:r>
    </w:p>
    <w:p w14:paraId="51E08EBB" w14:textId="77777777" w:rsidR="00CF7668" w:rsidRDefault="001F1463">
      <w:pPr>
        <w:ind w:left="-5" w:right="273"/>
      </w:pPr>
      <w:r>
        <w:rPr>
          <w:b/>
        </w:rPr>
        <w:t>Vyhláška</w:t>
      </w:r>
      <w:r>
        <w:t xml:space="preserve"> Českého úřadu bezpečnosti práce a Českého báňského úřadu č. 19/1979 Sb., kterou se určují vyhrazená zdvihací zařízení a stanoví některé podmínky k zajištění jejich bezpečnosti v platném znění. </w:t>
      </w:r>
    </w:p>
    <w:p w14:paraId="2ED07D7E" w14:textId="77777777" w:rsidR="00CF7668" w:rsidRDefault="001F1463">
      <w:pPr>
        <w:ind w:left="-5" w:right="273"/>
      </w:pPr>
      <w:r>
        <w:rPr>
          <w:b/>
        </w:rPr>
        <w:t>Vyhláška</w:t>
      </w:r>
      <w:r>
        <w:t xml:space="preserve"> Českého úřadu bezpečnosti práce a Českého báňského úřadu č. 18/1979 Sb., </w:t>
      </w:r>
      <w:proofErr w:type="gramStart"/>
      <w:r>
        <w:t>kterou  se</w:t>
      </w:r>
      <w:proofErr w:type="gramEnd"/>
      <w:r>
        <w:t xml:space="preserve"> určují vyhrazená tlaková zařízení a stanoví některé podmínky  k zajištění jejich bezpečnosti v platném znění. </w:t>
      </w:r>
    </w:p>
    <w:p w14:paraId="0F6B1149" w14:textId="77777777" w:rsidR="00CF7668" w:rsidRDefault="001F1463">
      <w:pPr>
        <w:ind w:left="-5" w:right="273"/>
      </w:pPr>
      <w:r>
        <w:rPr>
          <w:b/>
        </w:rPr>
        <w:t>Vyhláška</w:t>
      </w:r>
      <w:r>
        <w:t xml:space="preserve"> Českého úřadu bezpečnosti práce a Českého báňského úřadu č. 85/1978 Sb., o kontrolách, revizích a zkouškách plynových zařízení, v platném znění.   </w:t>
      </w:r>
    </w:p>
    <w:p w14:paraId="1982CE13" w14:textId="77777777" w:rsidR="00CF7668" w:rsidRDefault="001F1463">
      <w:pPr>
        <w:ind w:left="-5" w:right="273"/>
      </w:pPr>
      <w:r>
        <w:rPr>
          <w:b/>
        </w:rPr>
        <w:t>Vyhláška</w:t>
      </w:r>
      <w:r>
        <w:t xml:space="preserve"> Českého úřadu bezpečnosti práce a Českého báňského úřadu č. 50/1978 Sb., o odborné způsobilosti v elektrotechnice v platném znění. </w:t>
      </w:r>
    </w:p>
    <w:p w14:paraId="4A287D5A" w14:textId="77777777" w:rsidR="00CF7668" w:rsidRDefault="001F1463">
      <w:pPr>
        <w:ind w:left="-5" w:right="273"/>
      </w:pPr>
      <w:r>
        <w:rPr>
          <w:b/>
        </w:rPr>
        <w:t>Vyhláška</w:t>
      </w:r>
      <w:r>
        <w:t xml:space="preserve"> ministerstva stavebnictví č. 77/1965 Sb., o výcviku, způsobilosti a registraci obsluh stavebních strojů.   </w:t>
      </w:r>
    </w:p>
    <w:p w14:paraId="0E5DC65B" w14:textId="77777777" w:rsidR="00CF7668" w:rsidRDefault="001F1463">
      <w:pPr>
        <w:spacing w:after="0" w:line="259" w:lineRule="auto"/>
        <w:ind w:left="180" w:firstLine="0"/>
      </w:pPr>
      <w:r>
        <w:t xml:space="preserve"> </w:t>
      </w:r>
    </w:p>
    <w:p w14:paraId="3E8F50AC" w14:textId="77777777" w:rsidR="00CF7668" w:rsidRDefault="001F1463">
      <w:pPr>
        <w:spacing w:after="28" w:line="259" w:lineRule="auto"/>
        <w:ind w:left="-5"/>
      </w:pPr>
      <w:r>
        <w:rPr>
          <w:b/>
        </w:rPr>
        <w:t xml:space="preserve">Při projektování, provádění a provozování stavby nutno vycházet ze zásad: </w:t>
      </w:r>
    </w:p>
    <w:p w14:paraId="1B16B87E" w14:textId="77777777" w:rsidR="00CF7668" w:rsidRDefault="001F1463">
      <w:pPr>
        <w:numPr>
          <w:ilvl w:val="0"/>
          <w:numId w:val="1"/>
        </w:numPr>
        <w:ind w:right="273" w:hanging="139"/>
      </w:pPr>
      <w:r>
        <w:t xml:space="preserve">ČSN týkajících se navrhování a provádění stavby </w:t>
      </w:r>
    </w:p>
    <w:p w14:paraId="51B083BA" w14:textId="77777777" w:rsidR="00CF7668" w:rsidRDefault="001F1463">
      <w:pPr>
        <w:numPr>
          <w:ilvl w:val="0"/>
          <w:numId w:val="1"/>
        </w:numPr>
        <w:ind w:right="273" w:hanging="139"/>
      </w:pPr>
      <w:r>
        <w:t xml:space="preserve">zamezení vstupu nepovolaným a nepoučeným osobám do provozu </w:t>
      </w:r>
    </w:p>
    <w:p w14:paraId="7BBA5B1F" w14:textId="77777777" w:rsidR="00CF7668" w:rsidRDefault="001F1463">
      <w:pPr>
        <w:numPr>
          <w:ilvl w:val="0"/>
          <w:numId w:val="1"/>
        </w:numPr>
        <w:ind w:right="273" w:hanging="139"/>
      </w:pPr>
      <w:r>
        <w:t xml:space="preserve">zajištění dostatečného počtu osobních ochranných pomůcek </w:t>
      </w:r>
    </w:p>
    <w:p w14:paraId="3746AB53" w14:textId="77777777" w:rsidR="00CF7668" w:rsidRDefault="001F1463">
      <w:pPr>
        <w:numPr>
          <w:ilvl w:val="0"/>
          <w:numId w:val="1"/>
        </w:numPr>
        <w:ind w:right="273" w:hanging="139"/>
      </w:pPr>
      <w:r>
        <w:t xml:space="preserve">důsledného a prokazatelného poučení pracovníků stavby o bezpečnosti a ochraně zdraví při práci. </w:t>
      </w:r>
    </w:p>
    <w:p w14:paraId="2D275AC2" w14:textId="77777777" w:rsidR="00CF7668" w:rsidRDefault="001F1463">
      <w:pPr>
        <w:spacing w:after="0" w:line="259" w:lineRule="auto"/>
        <w:ind w:left="0" w:firstLine="0"/>
      </w:pPr>
      <w:r>
        <w:t xml:space="preserve"> </w:t>
      </w:r>
    </w:p>
    <w:p w14:paraId="59D18284" w14:textId="77777777" w:rsidR="00CF7668" w:rsidRDefault="001F1463">
      <w:pPr>
        <w:spacing w:after="28" w:line="259" w:lineRule="auto"/>
        <w:ind w:left="-5"/>
      </w:pPr>
      <w:r>
        <w:rPr>
          <w:b/>
        </w:rPr>
        <w:t xml:space="preserve">Příslušné normy: </w:t>
      </w:r>
    </w:p>
    <w:p w14:paraId="5588EB14" w14:textId="77777777" w:rsidR="00CF7668" w:rsidRDefault="001F1463">
      <w:pPr>
        <w:ind w:left="-5" w:right="273"/>
      </w:pPr>
      <w:r>
        <w:t>ČSN 01 3463   Výkresy inženýrských staveb. Výkresy kanalizace</w:t>
      </w:r>
      <w:r>
        <w:rPr>
          <w:b/>
        </w:rPr>
        <w:t xml:space="preserve"> </w:t>
      </w:r>
    </w:p>
    <w:p w14:paraId="00AF320A" w14:textId="77777777" w:rsidR="00CF7668" w:rsidRDefault="001F1463">
      <w:pPr>
        <w:ind w:left="-5" w:right="273"/>
      </w:pPr>
      <w:r>
        <w:t xml:space="preserve">ČSN 34 3510   Bezpečnostní tabulky a nápisy pro el. zařízení  </w:t>
      </w:r>
    </w:p>
    <w:p w14:paraId="5C1F5FF4" w14:textId="77777777" w:rsidR="00CF7668" w:rsidRDefault="001F1463">
      <w:pPr>
        <w:ind w:left="-5" w:right="273"/>
      </w:pPr>
      <w:r>
        <w:t xml:space="preserve">ČSN 72 1006   Kontrola zhutnění zemin a sypanin  </w:t>
      </w:r>
    </w:p>
    <w:p w14:paraId="3AB107EE" w14:textId="77777777" w:rsidR="00CF7668" w:rsidRDefault="001F1463">
      <w:pPr>
        <w:ind w:left="-5" w:right="273"/>
      </w:pPr>
      <w:r>
        <w:t xml:space="preserve">ČSN 73 3050   Zemní práce </w:t>
      </w:r>
    </w:p>
    <w:p w14:paraId="348A172B" w14:textId="77777777" w:rsidR="00CF7668" w:rsidRDefault="001F1463">
      <w:pPr>
        <w:ind w:left="-5" w:right="273"/>
      </w:pPr>
      <w:r>
        <w:t xml:space="preserve">ČSN 73 0802   Požární bezpečnost staveb. Společná ustanovení. </w:t>
      </w:r>
    </w:p>
    <w:p w14:paraId="30A7A111" w14:textId="77777777" w:rsidR="00CF7668" w:rsidRDefault="001F1463">
      <w:pPr>
        <w:ind w:left="-5" w:right="273"/>
      </w:pPr>
      <w:r>
        <w:t xml:space="preserve">ČSN 73 6005   Prostorová úprava vedení technického vybavení </w:t>
      </w:r>
    </w:p>
    <w:p w14:paraId="29DAD7DA" w14:textId="77777777" w:rsidR="00CF7668" w:rsidRDefault="001F1463">
      <w:pPr>
        <w:ind w:left="-5" w:right="273"/>
      </w:pPr>
      <w:r>
        <w:t xml:space="preserve">ČSN 75 6101   Stokové sítě a kanalizační přípojky </w:t>
      </w:r>
    </w:p>
    <w:p w14:paraId="4B979565" w14:textId="77777777" w:rsidR="00CF7668" w:rsidRDefault="001F1463">
      <w:pPr>
        <w:ind w:left="-5" w:right="273"/>
      </w:pPr>
      <w:r>
        <w:t xml:space="preserve">ČSN 75 6230   Podchody stok a kanalizačních přípojek pod dráhou a pozemní komunikací </w:t>
      </w:r>
    </w:p>
    <w:p w14:paraId="114B1D4F" w14:textId="77777777" w:rsidR="00CF7668" w:rsidRDefault="001F1463">
      <w:pPr>
        <w:ind w:left="-5" w:right="273"/>
      </w:pPr>
      <w:r>
        <w:t xml:space="preserve">ČSN 75 6909   Zkoušky vodotěsnosti stok </w:t>
      </w:r>
    </w:p>
    <w:p w14:paraId="09B01C78" w14:textId="77777777" w:rsidR="00CF7668" w:rsidRDefault="001F1463">
      <w:pPr>
        <w:ind w:left="1545" w:right="273" w:hanging="1560"/>
      </w:pPr>
      <w:r>
        <w:t xml:space="preserve">ČSN 75 21 </w:t>
      </w:r>
      <w:proofErr w:type="gramStart"/>
      <w:r>
        <w:t>30  Křížení</w:t>
      </w:r>
      <w:proofErr w:type="gramEnd"/>
      <w:r>
        <w:t xml:space="preserve"> a souběhy vodních toků s dráhami, pozemními komunikacemi a     vedeními </w:t>
      </w:r>
    </w:p>
    <w:p w14:paraId="4440E6FC" w14:textId="77777777" w:rsidR="00CF7668" w:rsidRDefault="001F1463">
      <w:pPr>
        <w:ind w:left="1545" w:right="273" w:hanging="1560"/>
      </w:pPr>
      <w:r>
        <w:t xml:space="preserve">ČSN EN 1289 (75 61 15) </w:t>
      </w:r>
      <w:proofErr w:type="spellStart"/>
      <w:r>
        <w:t>Bezvýkopové</w:t>
      </w:r>
      <w:proofErr w:type="spellEnd"/>
      <w:r>
        <w:t xml:space="preserve"> provádění stok a kanalizačních přípojek a jejich zkoušení </w:t>
      </w:r>
    </w:p>
    <w:p w14:paraId="08EA1EA7" w14:textId="77777777" w:rsidR="00CF7668" w:rsidRDefault="001F1463">
      <w:pPr>
        <w:ind w:left="1545" w:right="273" w:hanging="1560"/>
      </w:pPr>
      <w:r>
        <w:t xml:space="preserve">ČSN DIN 18 920 Sadovnictví a krajinářství. Ochrana stromů, porostů a ploch pro vegetaci při stavebních činnostech </w:t>
      </w:r>
    </w:p>
    <w:p w14:paraId="18A69CA0" w14:textId="2B41A2FF" w:rsidR="00CF7668" w:rsidRDefault="001F1463">
      <w:pPr>
        <w:spacing w:after="0" w:line="259" w:lineRule="auto"/>
        <w:ind w:left="0" w:firstLine="0"/>
      </w:pPr>
      <w:r>
        <w:t xml:space="preserve"> </w:t>
      </w:r>
    </w:p>
    <w:p w14:paraId="1016CFEB" w14:textId="77777777" w:rsidR="00970DEB" w:rsidRDefault="00970DEB">
      <w:pPr>
        <w:spacing w:after="0" w:line="259" w:lineRule="auto"/>
        <w:ind w:left="0" w:firstLine="0"/>
      </w:pPr>
    </w:p>
    <w:p w14:paraId="4AD36331" w14:textId="77777777" w:rsidR="00CF7668" w:rsidRDefault="001F1463">
      <w:pPr>
        <w:spacing w:after="28" w:line="259" w:lineRule="auto"/>
        <w:ind w:left="-5"/>
      </w:pPr>
      <w:r>
        <w:rPr>
          <w:b/>
        </w:rPr>
        <w:t xml:space="preserve">Související právní předpisy </w:t>
      </w:r>
    </w:p>
    <w:p w14:paraId="2A912A11" w14:textId="77777777" w:rsidR="00CF7668" w:rsidRDefault="001F1463">
      <w:pPr>
        <w:numPr>
          <w:ilvl w:val="0"/>
          <w:numId w:val="2"/>
        </w:numPr>
        <w:ind w:right="273" w:hanging="180"/>
      </w:pPr>
      <w:r>
        <w:t>Zákon.  č.  183/2006 Sb., o územním plánování a stavebním řadu (</w:t>
      </w:r>
      <w:proofErr w:type="gramStart"/>
      <w:r>
        <w:t>stavební  zákon</w:t>
      </w:r>
      <w:proofErr w:type="gramEnd"/>
      <w:r>
        <w:t xml:space="preserve">) v platném znění. </w:t>
      </w:r>
    </w:p>
    <w:p w14:paraId="1E078ACC" w14:textId="77777777" w:rsidR="00CF7668" w:rsidRDefault="001F1463">
      <w:pPr>
        <w:numPr>
          <w:ilvl w:val="0"/>
          <w:numId w:val="2"/>
        </w:numPr>
        <w:ind w:right="273" w:hanging="180"/>
      </w:pPr>
      <w:r>
        <w:t xml:space="preserve">Zákon č. 184/2006 Sb., o odnětí nebo omezení vlastnického práva k pozemku nebo stavbě (zákon o vyvlastnění) </w:t>
      </w:r>
    </w:p>
    <w:p w14:paraId="22646590" w14:textId="77777777" w:rsidR="00CF7668" w:rsidRDefault="001F1463">
      <w:pPr>
        <w:numPr>
          <w:ilvl w:val="0"/>
          <w:numId w:val="2"/>
        </w:numPr>
        <w:ind w:right="273" w:hanging="180"/>
      </w:pPr>
      <w:r>
        <w:t>Zákon č. 186/2006 Sb., o změně některých zákonů souvisejících s přijetím stavebního zákona a zákona o vyvlastnění.</w:t>
      </w:r>
      <w:r>
        <w:rPr>
          <w:b/>
        </w:rPr>
        <w:t xml:space="preserve"> </w:t>
      </w:r>
    </w:p>
    <w:p w14:paraId="00991AA9" w14:textId="77777777" w:rsidR="00CF7668" w:rsidRDefault="001F1463">
      <w:pPr>
        <w:numPr>
          <w:ilvl w:val="0"/>
          <w:numId w:val="2"/>
        </w:numPr>
        <w:ind w:right="273" w:hanging="180"/>
      </w:pPr>
      <w:r>
        <w:lastRenderedPageBreak/>
        <w:t xml:space="preserve">Zákon. č. 13/1997 Sb., </w:t>
      </w:r>
      <w:proofErr w:type="gramStart"/>
      <w:r>
        <w:t>o  pozemních</w:t>
      </w:r>
      <w:proofErr w:type="gramEnd"/>
      <w:r>
        <w:t xml:space="preserve"> komunikacích (silniční zákon), a jeho prováděcí </w:t>
      </w:r>
      <w:proofErr w:type="spellStart"/>
      <w:r>
        <w:t>vyhl</w:t>
      </w:r>
      <w:proofErr w:type="spellEnd"/>
      <w:r>
        <w:t xml:space="preserve">. č. 104/97 Sb. </w:t>
      </w:r>
    </w:p>
    <w:p w14:paraId="0CA0749A" w14:textId="77777777" w:rsidR="00CF7668" w:rsidRDefault="001F1463">
      <w:pPr>
        <w:numPr>
          <w:ilvl w:val="0"/>
          <w:numId w:val="2"/>
        </w:numPr>
        <w:ind w:right="273" w:hanging="180"/>
      </w:pPr>
      <w:r>
        <w:t xml:space="preserve">Zákon. č. 361/2000 Sb., o provozu na pozemních komunikacích a o změnách některých zákonů </w:t>
      </w:r>
    </w:p>
    <w:p w14:paraId="02A5FC0F" w14:textId="77777777" w:rsidR="00CF7668" w:rsidRDefault="001F1463">
      <w:pPr>
        <w:numPr>
          <w:ilvl w:val="0"/>
          <w:numId w:val="2"/>
        </w:numPr>
        <w:ind w:right="273" w:hanging="180"/>
      </w:pPr>
      <w:r>
        <w:t>Zákon.  č. 396/</w:t>
      </w:r>
      <w:proofErr w:type="gramStart"/>
      <w:r>
        <w:t>1992  Sb.</w:t>
      </w:r>
      <w:proofErr w:type="gramEnd"/>
      <w:r>
        <w:t xml:space="preserve">, o státním odborném dozoru nad bezpečností práce (úplné znění s působností pro ČR, jak vyplývá z pozdějších změn a doplnění). </w:t>
      </w:r>
    </w:p>
    <w:p w14:paraId="34C38EB3" w14:textId="77777777" w:rsidR="00CF7668" w:rsidRDefault="001F1463">
      <w:pPr>
        <w:numPr>
          <w:ilvl w:val="0"/>
          <w:numId w:val="2"/>
        </w:numPr>
        <w:ind w:right="273" w:hanging="180"/>
      </w:pPr>
      <w:r>
        <w:t xml:space="preserve">Zákon. č.155/200 </w:t>
      </w:r>
      <w:proofErr w:type="spellStart"/>
      <w:proofErr w:type="gramStart"/>
      <w:r>
        <w:t>Sb.,zákon</w:t>
      </w:r>
      <w:proofErr w:type="spellEnd"/>
      <w:proofErr w:type="gramEnd"/>
      <w:r>
        <w:t xml:space="preserve">, kterým se mění zákon č 65/1965Sb.,zákoník práce, ve znění pozdějších předpisů, a některé další zákony. </w:t>
      </w:r>
    </w:p>
    <w:p w14:paraId="4D46308C" w14:textId="77777777" w:rsidR="00CF7668" w:rsidRDefault="001F1463">
      <w:pPr>
        <w:numPr>
          <w:ilvl w:val="0"/>
          <w:numId w:val="2"/>
        </w:numPr>
        <w:ind w:right="273" w:hanging="180"/>
      </w:pPr>
      <w:r>
        <w:t xml:space="preserve">Zákon č. 79/1957 Sb., o výrobě, rozvodu a spotřebě elektřiny (elektrizační zákon). </w:t>
      </w:r>
    </w:p>
    <w:p w14:paraId="18C156F2" w14:textId="77777777" w:rsidR="00CF7668" w:rsidRDefault="001F1463">
      <w:pPr>
        <w:numPr>
          <w:ilvl w:val="0"/>
          <w:numId w:val="2"/>
        </w:numPr>
        <w:ind w:right="273" w:hanging="180"/>
      </w:pPr>
      <w:r>
        <w:t xml:space="preserve">Zákon č. 138/1973 Sb., o vodách (vodní zákon) ve znění pozdějších předpisů. </w:t>
      </w:r>
    </w:p>
    <w:p w14:paraId="4C31493F" w14:textId="77777777" w:rsidR="00CF7668" w:rsidRDefault="001F1463">
      <w:pPr>
        <w:numPr>
          <w:ilvl w:val="0"/>
          <w:numId w:val="2"/>
        </w:numPr>
        <w:spacing w:after="13" w:line="268" w:lineRule="auto"/>
        <w:ind w:right="273" w:hanging="180"/>
      </w:pPr>
      <w:r>
        <w:t xml:space="preserve">Zákon ČNR č. 458/1992 Sb., úplné znění zákona č. 130/1974 Sb., o státní správě ve vodním hospodářství se změnami a doplňky, provedenými zákonem č. 49/1982 Sb., zákonem č. 425/1992 Sb. a zákonem č. 33/1992 Sb. </w:t>
      </w:r>
    </w:p>
    <w:p w14:paraId="19D3CCBB" w14:textId="77777777" w:rsidR="00CF7668" w:rsidRDefault="001F1463">
      <w:pPr>
        <w:numPr>
          <w:ilvl w:val="0"/>
          <w:numId w:val="2"/>
        </w:numPr>
        <w:ind w:right="273" w:hanging="180"/>
      </w:pPr>
      <w:proofErr w:type="gramStart"/>
      <w:r>
        <w:t>Vyhláška  Ministerstva</w:t>
      </w:r>
      <w:proofErr w:type="gramEnd"/>
      <w:r>
        <w:t xml:space="preserve">  lesního a vodního  hospodářství  č. 6/1977  Sb., o ochraně jakosti povrchových a podzemních vod. </w:t>
      </w:r>
    </w:p>
    <w:p w14:paraId="6D61E96A" w14:textId="77777777" w:rsidR="00CF7668" w:rsidRDefault="001F1463">
      <w:pPr>
        <w:numPr>
          <w:ilvl w:val="0"/>
          <w:numId w:val="2"/>
        </w:numPr>
        <w:spacing w:after="13" w:line="268" w:lineRule="auto"/>
        <w:ind w:right="273" w:hanging="180"/>
      </w:pPr>
      <w:r>
        <w:t xml:space="preserve">Vyhláška Českého </w:t>
      </w:r>
      <w:proofErr w:type="gramStart"/>
      <w:r>
        <w:t>úřadu  bezpečnosti</w:t>
      </w:r>
      <w:proofErr w:type="gramEnd"/>
      <w:r>
        <w:t xml:space="preserve"> práce č. 48/1982 Sb.,  kterou se stanoví  základní požadavky k zajištění bezpečnosti práce technických zařízení ve znění  vyhlášek č. 324/1990 Sb. a č. 207/1991 Sb. </w:t>
      </w:r>
    </w:p>
    <w:p w14:paraId="60446C49" w14:textId="77777777" w:rsidR="00CF7668" w:rsidRDefault="001F1463">
      <w:pPr>
        <w:numPr>
          <w:ilvl w:val="0"/>
          <w:numId w:val="2"/>
        </w:numPr>
        <w:spacing w:after="13" w:line="268" w:lineRule="auto"/>
        <w:ind w:right="273" w:hanging="180"/>
      </w:pPr>
      <w:proofErr w:type="gramStart"/>
      <w:r>
        <w:t>Vyhláška  Federálního</w:t>
      </w:r>
      <w:proofErr w:type="gramEnd"/>
      <w:r>
        <w:t xml:space="preserve">  ministerstva  dopravy  č.  61/1982 Sb.</w:t>
      </w:r>
      <w:proofErr w:type="gramStart"/>
      <w:r>
        <w:t>,  o</w:t>
      </w:r>
      <w:proofErr w:type="gramEnd"/>
      <w:r>
        <w:t xml:space="preserve">  určených technických zařízeních. Lhůty dozorčí činnosti odborného technického dozoru uveřejněné ve věstníku dopravy č. 16/</w:t>
      </w:r>
      <w:proofErr w:type="gramStart"/>
      <w:r>
        <w:t>1974  a</w:t>
      </w:r>
      <w:proofErr w:type="gramEnd"/>
      <w:r>
        <w:t xml:space="preserve"> registrované  v částce č. 15/1974 Sb. </w:t>
      </w:r>
    </w:p>
    <w:p w14:paraId="3BFB1233" w14:textId="77777777" w:rsidR="00CF7668" w:rsidRDefault="001F1463">
      <w:pPr>
        <w:numPr>
          <w:ilvl w:val="0"/>
          <w:numId w:val="2"/>
        </w:numPr>
        <w:ind w:right="273" w:hanging="180"/>
      </w:pPr>
      <w:proofErr w:type="gramStart"/>
      <w:r>
        <w:t>Vyhláška  478</w:t>
      </w:r>
      <w:proofErr w:type="gramEnd"/>
      <w:r>
        <w:t xml:space="preserve">/2000Sb. ministerstva dopravy a spojů, kterou se provádí zákon o silniční dopravě. </w:t>
      </w:r>
    </w:p>
    <w:p w14:paraId="29F5F4A9" w14:textId="77777777" w:rsidR="00CF7668" w:rsidRDefault="001F1463">
      <w:pPr>
        <w:numPr>
          <w:ilvl w:val="0"/>
          <w:numId w:val="2"/>
        </w:numPr>
        <w:ind w:right="273" w:hanging="180"/>
      </w:pPr>
      <w:r>
        <w:t xml:space="preserve">Vyhláška Ministerstva zdravotnictví ČR č. 76/1991 Sb. o požadavcích na omezování radonu a dalších přírodních </w:t>
      </w:r>
      <w:proofErr w:type="spellStart"/>
      <w:r>
        <w:t>radio</w:t>
      </w:r>
      <w:proofErr w:type="spellEnd"/>
      <w:r>
        <w:t xml:space="preserve"> nuklidů. </w:t>
      </w:r>
    </w:p>
    <w:p w14:paraId="5BB7D1D5" w14:textId="77777777" w:rsidR="00CF7668" w:rsidRDefault="001F1463">
      <w:pPr>
        <w:numPr>
          <w:ilvl w:val="0"/>
          <w:numId w:val="2"/>
        </w:numPr>
        <w:ind w:right="273" w:hanging="180"/>
      </w:pPr>
      <w:proofErr w:type="gramStart"/>
      <w:r>
        <w:t>Nařízení  vlády</w:t>
      </w:r>
      <w:proofErr w:type="gramEnd"/>
      <w:r>
        <w:t xml:space="preserve"> ČSR  č. 192/1988  Sb., o  jedech a  některých jiných látkách  škodlivých zdraví, ve znění nařízení vlády ČR č. 182/1990 Sb. </w:t>
      </w:r>
    </w:p>
    <w:p w14:paraId="35F9BB6F" w14:textId="77777777" w:rsidR="00CF7668" w:rsidRDefault="001F1463">
      <w:pPr>
        <w:numPr>
          <w:ilvl w:val="0"/>
          <w:numId w:val="2"/>
        </w:numPr>
        <w:ind w:right="273" w:hanging="180"/>
      </w:pPr>
      <w:r>
        <w:t xml:space="preserve">Směrnice </w:t>
      </w:r>
      <w:proofErr w:type="gramStart"/>
      <w:r>
        <w:t>Ministerstva  zdravotnictví</w:t>
      </w:r>
      <w:proofErr w:type="gramEnd"/>
      <w:r>
        <w:t xml:space="preserve"> č. 49/1967 Sb.,  o posuzování zdravotní  způsobilosti  k práci,  ve znění směrnice Ministerstva  zdravotnictví ČSR  č.  17/1970. </w:t>
      </w:r>
    </w:p>
    <w:p w14:paraId="4898701C" w14:textId="77777777" w:rsidR="00CF7668" w:rsidRDefault="001F1463">
      <w:pPr>
        <w:numPr>
          <w:ilvl w:val="0"/>
          <w:numId w:val="2"/>
        </w:numPr>
        <w:ind w:right="273" w:hanging="180"/>
      </w:pPr>
      <w:r>
        <w:t xml:space="preserve">Směrnice Ministerstva zdravotnictví ČSR č. 46/1978 Sb.  Hygienické předpisy, o hygienických </w:t>
      </w:r>
      <w:proofErr w:type="gramStart"/>
      <w:r>
        <w:t>požadavcích  na</w:t>
      </w:r>
      <w:proofErr w:type="gramEnd"/>
      <w:r>
        <w:t xml:space="preserve"> pracovní prostředí. </w:t>
      </w:r>
    </w:p>
    <w:p w14:paraId="1B11B366" w14:textId="77777777" w:rsidR="00CF7668" w:rsidRDefault="001F1463">
      <w:pPr>
        <w:numPr>
          <w:ilvl w:val="0"/>
          <w:numId w:val="2"/>
        </w:numPr>
        <w:spacing w:after="13" w:line="268" w:lineRule="auto"/>
        <w:ind w:right="273" w:hanging="180"/>
      </w:pPr>
      <w:r>
        <w:t xml:space="preserve">Metodické opatření Ministerstva </w:t>
      </w:r>
      <w:proofErr w:type="gramStart"/>
      <w:r>
        <w:t>zdravotnictví  ČSR</w:t>
      </w:r>
      <w:proofErr w:type="gramEnd"/>
      <w:r>
        <w:t xml:space="preserve"> č. 52/1979 Sb. Hygienické  předpisy, ke stanovení, měření  a hodnocení nejvyšších přípustných koncentrací  škodlivin v pracovním ovzduší. </w:t>
      </w:r>
    </w:p>
    <w:p w14:paraId="111BFFA3" w14:textId="77777777" w:rsidR="00CF7668" w:rsidRDefault="001F1463">
      <w:pPr>
        <w:numPr>
          <w:ilvl w:val="0"/>
          <w:numId w:val="2"/>
        </w:numPr>
        <w:spacing w:after="13" w:line="268" w:lineRule="auto"/>
        <w:ind w:right="273" w:hanging="180"/>
      </w:pPr>
      <w:r>
        <w:t xml:space="preserve">Směrnice Ministerstva zdravotnictví </w:t>
      </w:r>
      <w:proofErr w:type="gramStart"/>
      <w:r>
        <w:t>ČSR  č.</w:t>
      </w:r>
      <w:proofErr w:type="gramEnd"/>
      <w:r>
        <w:t xml:space="preserve"> 58/1981 Sb. Hygienické předpisy,  o zásadních hygienických požadavcích, o nejvyšších  přípustných koncentracích  nejzávažnějších škodlivin v ovzduší a o hodnocení stupně jeho znečištění. </w:t>
      </w:r>
    </w:p>
    <w:p w14:paraId="7A2AD0CD" w14:textId="77777777" w:rsidR="00CF7668" w:rsidRDefault="001F1463">
      <w:pPr>
        <w:numPr>
          <w:ilvl w:val="0"/>
          <w:numId w:val="2"/>
        </w:numPr>
        <w:ind w:right="273" w:hanging="180"/>
      </w:pPr>
      <w:r>
        <w:t xml:space="preserve">Metodický </w:t>
      </w:r>
      <w:proofErr w:type="gramStart"/>
      <w:r>
        <w:t>návod  Ministerstva</w:t>
      </w:r>
      <w:proofErr w:type="gramEnd"/>
      <w:r>
        <w:t xml:space="preserve"> zdravotnictví ČSR  č. 60/1981 Sb.  </w:t>
      </w:r>
      <w:proofErr w:type="gramStart"/>
      <w:r>
        <w:t>Hygienické  předpisy</w:t>
      </w:r>
      <w:proofErr w:type="gramEnd"/>
      <w:r>
        <w:t xml:space="preserve">,  pro  zjišťování  obsahu  škodlivin  v  ovzduší (Jednotné analytické  metody). </w:t>
      </w:r>
    </w:p>
    <w:p w14:paraId="57993857" w14:textId="77777777" w:rsidR="00CF7668" w:rsidRDefault="001F1463">
      <w:pPr>
        <w:numPr>
          <w:ilvl w:val="0"/>
          <w:numId w:val="2"/>
        </w:numPr>
        <w:spacing w:after="13" w:line="268" w:lineRule="auto"/>
        <w:ind w:right="273" w:hanging="180"/>
      </w:pPr>
      <w:r>
        <w:t xml:space="preserve">Směrnice Ministerstva zdravotnictví ČSR č. 66/1985 Sb. Hygienické předpisy, kterými </w:t>
      </w:r>
      <w:proofErr w:type="gramStart"/>
      <w:r>
        <w:t>se  doplňuje</w:t>
      </w:r>
      <w:proofErr w:type="gramEnd"/>
      <w:r>
        <w:t xml:space="preserve">  směrnice  č.   46/1978   Sb.  </w:t>
      </w:r>
      <w:proofErr w:type="gramStart"/>
      <w:r>
        <w:t>Hygienické  předpisy</w:t>
      </w:r>
      <w:proofErr w:type="gramEnd"/>
      <w:r>
        <w:t xml:space="preserve">,  o hygienických požadavcích na pracovní prostředí. </w:t>
      </w:r>
    </w:p>
    <w:p w14:paraId="2C1342CA" w14:textId="77777777" w:rsidR="00CF7668" w:rsidRDefault="001F1463">
      <w:pPr>
        <w:numPr>
          <w:ilvl w:val="0"/>
          <w:numId w:val="2"/>
        </w:numPr>
        <w:spacing w:after="13" w:line="268" w:lineRule="auto"/>
        <w:ind w:right="273" w:hanging="180"/>
      </w:pPr>
      <w:r>
        <w:t xml:space="preserve">Směrnice Ministerstva zdravotnictví </w:t>
      </w:r>
      <w:proofErr w:type="gramStart"/>
      <w:r>
        <w:t>ČSR  č.</w:t>
      </w:r>
      <w:proofErr w:type="gramEnd"/>
      <w:r>
        <w:t xml:space="preserve"> 48/1978 Sb. Hygienické předpisy, o hygienických požadavcích  na plasty a předměty z plastů přicházejících do styku s poživatinami. </w:t>
      </w:r>
    </w:p>
    <w:p w14:paraId="79F60969" w14:textId="77777777" w:rsidR="00CF7668" w:rsidRDefault="001F1463">
      <w:pPr>
        <w:numPr>
          <w:ilvl w:val="0"/>
          <w:numId w:val="2"/>
        </w:numPr>
        <w:ind w:right="273" w:hanging="180"/>
      </w:pPr>
      <w:r>
        <w:t xml:space="preserve">Vyhláška Ministerstva životního prostředí č. 137/1999 </w:t>
      </w:r>
      <w:proofErr w:type="gramStart"/>
      <w:r>
        <w:t>Sb. ,kterou</w:t>
      </w:r>
      <w:proofErr w:type="gramEnd"/>
      <w:r>
        <w:t xml:space="preserve"> se stanoví seznam vodárenských nádrží a zásady pro stanovení a změny ochranných pásem vodních zdrojů. </w:t>
      </w:r>
    </w:p>
    <w:p w14:paraId="63BEBF9B" w14:textId="2BAF42E4" w:rsidR="00CF7668" w:rsidRDefault="001F1463" w:rsidP="00970DEB">
      <w:pPr>
        <w:spacing w:after="0" w:line="259" w:lineRule="auto"/>
        <w:ind w:left="0" w:firstLine="0"/>
      </w:pPr>
      <w:r>
        <w:t xml:space="preserve"> ----------------------------------------------------------------------------------------------------------------- </w:t>
      </w:r>
      <w:r>
        <w:rPr>
          <w:rFonts w:ascii="Courier New" w:eastAsia="Courier New" w:hAnsi="Courier New" w:cs="Courier New"/>
        </w:rPr>
        <w:t xml:space="preserve">  </w:t>
      </w:r>
    </w:p>
    <w:sectPr w:rsidR="00CF7668" w:rsidSect="00C96FB6">
      <w:footerReference w:type="even" r:id="rId7"/>
      <w:footerReference w:type="first" r:id="rId8"/>
      <w:pgSz w:w="11900" w:h="16840"/>
      <w:pgMar w:top="720" w:right="720" w:bottom="720" w:left="720" w:header="708" w:footer="8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B55B5" w14:textId="77777777" w:rsidR="006D736D" w:rsidRDefault="006D736D">
      <w:pPr>
        <w:spacing w:after="0" w:line="240" w:lineRule="auto"/>
      </w:pPr>
      <w:r>
        <w:separator/>
      </w:r>
    </w:p>
  </w:endnote>
  <w:endnote w:type="continuationSeparator" w:id="0">
    <w:p w14:paraId="14BC7D3E" w14:textId="77777777" w:rsidR="006D736D" w:rsidRDefault="006D7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A0D7" w14:textId="77777777" w:rsidR="00CF7668" w:rsidRDefault="001F1463">
    <w:pPr>
      <w:spacing w:after="3" w:line="259" w:lineRule="auto"/>
      <w:ind w:left="0" w:firstLine="0"/>
    </w:pPr>
    <w:r>
      <w:rPr>
        <w:sz w:val="16"/>
      </w:rPr>
      <w:t>_________________________________________________________________________________________________________________</w:t>
    </w:r>
    <w:r>
      <w:rPr>
        <w:i/>
        <w:sz w:val="16"/>
      </w:rPr>
      <w:t xml:space="preserve"> </w:t>
    </w:r>
  </w:p>
  <w:p w14:paraId="7608279A" w14:textId="77777777" w:rsidR="00CF7668" w:rsidRDefault="001F1463">
    <w:pPr>
      <w:tabs>
        <w:tab w:val="center" w:pos="3970"/>
        <w:tab w:val="center" w:pos="4536"/>
        <w:tab w:val="center" w:pos="8799"/>
      </w:tabs>
      <w:spacing w:after="0" w:line="259" w:lineRule="auto"/>
      <w:ind w:left="0" w:firstLine="0"/>
    </w:pPr>
    <w:r>
      <w:rPr>
        <w:i/>
        <w:sz w:val="16"/>
      </w:rPr>
      <w:t xml:space="preserve"> </w:t>
    </w:r>
    <w:r>
      <w:rPr>
        <w:i/>
        <w:sz w:val="16"/>
      </w:rPr>
      <w:tab/>
      <w:t xml:space="preserve"> </w:t>
    </w:r>
    <w:r>
      <w:rPr>
        <w:i/>
        <w:sz w:val="16"/>
      </w:rPr>
      <w:tab/>
      <w:t xml:space="preserve"> </w:t>
    </w:r>
    <w:r>
      <w:rPr>
        <w:i/>
        <w:sz w:val="16"/>
      </w:rPr>
      <w:tab/>
      <w:t xml:space="preserve">Strana </w:t>
    </w:r>
    <w:r>
      <w:fldChar w:fldCharType="begin"/>
    </w:r>
    <w:r>
      <w:instrText xml:space="preserve"> PAGE   \* MERGEFORMAT </w:instrText>
    </w:r>
    <w:r>
      <w:fldChar w:fldCharType="separate"/>
    </w:r>
    <w:r>
      <w:rPr>
        <w:i/>
        <w:sz w:val="16"/>
      </w:rPr>
      <w:t>1</w:t>
    </w:r>
    <w:r>
      <w:rPr>
        <w:i/>
        <w:sz w:val="16"/>
      </w:rPr>
      <w:fldChar w:fldCharType="end"/>
    </w:r>
    <w:r>
      <w:rPr>
        <w:i/>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D8F5" w14:textId="77777777" w:rsidR="00CF7668" w:rsidRDefault="001F1463">
    <w:pPr>
      <w:spacing w:after="3" w:line="259" w:lineRule="auto"/>
      <w:ind w:left="0" w:firstLine="0"/>
    </w:pPr>
    <w:r>
      <w:rPr>
        <w:sz w:val="16"/>
      </w:rPr>
      <w:t>_________________________________________________________________________________________________________________</w:t>
    </w:r>
    <w:r>
      <w:rPr>
        <w:i/>
        <w:sz w:val="16"/>
      </w:rPr>
      <w:t xml:space="preserve"> </w:t>
    </w:r>
  </w:p>
  <w:p w14:paraId="4CBEF390" w14:textId="77777777" w:rsidR="00CF7668" w:rsidRDefault="001F1463">
    <w:pPr>
      <w:tabs>
        <w:tab w:val="center" w:pos="3970"/>
        <w:tab w:val="center" w:pos="4536"/>
        <w:tab w:val="center" w:pos="8799"/>
      </w:tabs>
      <w:spacing w:after="0" w:line="259" w:lineRule="auto"/>
      <w:ind w:left="0" w:firstLine="0"/>
    </w:pPr>
    <w:r>
      <w:rPr>
        <w:i/>
        <w:sz w:val="16"/>
      </w:rPr>
      <w:t xml:space="preserve"> </w:t>
    </w:r>
    <w:r>
      <w:rPr>
        <w:i/>
        <w:sz w:val="16"/>
      </w:rPr>
      <w:tab/>
      <w:t xml:space="preserve"> </w:t>
    </w:r>
    <w:r>
      <w:rPr>
        <w:i/>
        <w:sz w:val="16"/>
      </w:rPr>
      <w:tab/>
      <w:t xml:space="preserve"> </w:t>
    </w:r>
    <w:r>
      <w:rPr>
        <w:i/>
        <w:sz w:val="16"/>
      </w:rPr>
      <w:tab/>
      <w:t xml:space="preserve">Strana </w:t>
    </w:r>
    <w:r>
      <w:fldChar w:fldCharType="begin"/>
    </w:r>
    <w:r>
      <w:instrText xml:space="preserve"> PAGE   \* MERGEFORMAT </w:instrText>
    </w:r>
    <w:r>
      <w:fldChar w:fldCharType="separate"/>
    </w:r>
    <w:r>
      <w:rPr>
        <w:i/>
        <w:sz w:val="16"/>
      </w:rPr>
      <w:t>1</w:t>
    </w:r>
    <w:r>
      <w:rPr>
        <w:i/>
        <w:sz w:val="16"/>
      </w:rPr>
      <w:fldChar w:fldCharType="end"/>
    </w:r>
    <w:r>
      <w:rPr>
        <w:i/>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854CF" w14:textId="77777777" w:rsidR="006D736D" w:rsidRDefault="006D736D">
      <w:pPr>
        <w:spacing w:after="0" w:line="240" w:lineRule="auto"/>
      </w:pPr>
      <w:r>
        <w:separator/>
      </w:r>
    </w:p>
  </w:footnote>
  <w:footnote w:type="continuationSeparator" w:id="0">
    <w:p w14:paraId="6F8E0E5D" w14:textId="77777777" w:rsidR="006D736D" w:rsidRDefault="006D7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6F3A"/>
    <w:multiLevelType w:val="hybridMultilevel"/>
    <w:tmpl w:val="BE404BC8"/>
    <w:lvl w:ilvl="0" w:tplc="AE9C3AF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42DB8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4C7B2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EC582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3007B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C4A2F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2F0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101F2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7A83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C971EBB"/>
    <w:multiLevelType w:val="hybridMultilevel"/>
    <w:tmpl w:val="01F42728"/>
    <w:lvl w:ilvl="0" w:tplc="4BE893D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14C3DAC"/>
    <w:multiLevelType w:val="hybridMultilevel"/>
    <w:tmpl w:val="43CEBA10"/>
    <w:lvl w:ilvl="0" w:tplc="9D40388E">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9C55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DEEC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D6E5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D6956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A8CC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A6507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1CA0C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90E5B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68"/>
    <w:rsid w:val="00141068"/>
    <w:rsid w:val="00157F14"/>
    <w:rsid w:val="001F1463"/>
    <w:rsid w:val="001F528D"/>
    <w:rsid w:val="00264ECF"/>
    <w:rsid w:val="00304DB6"/>
    <w:rsid w:val="003A2BF8"/>
    <w:rsid w:val="00435332"/>
    <w:rsid w:val="00454922"/>
    <w:rsid w:val="004813C8"/>
    <w:rsid w:val="004F1FA1"/>
    <w:rsid w:val="0050408A"/>
    <w:rsid w:val="00544BED"/>
    <w:rsid w:val="0058293D"/>
    <w:rsid w:val="005A799A"/>
    <w:rsid w:val="005C3436"/>
    <w:rsid w:val="00605EB1"/>
    <w:rsid w:val="006161F1"/>
    <w:rsid w:val="0064633A"/>
    <w:rsid w:val="00651F2A"/>
    <w:rsid w:val="006A4433"/>
    <w:rsid w:val="006B3C23"/>
    <w:rsid w:val="006D736D"/>
    <w:rsid w:val="006E51F3"/>
    <w:rsid w:val="00732D14"/>
    <w:rsid w:val="00763302"/>
    <w:rsid w:val="007702FA"/>
    <w:rsid w:val="00794BC1"/>
    <w:rsid w:val="007D6C75"/>
    <w:rsid w:val="00801751"/>
    <w:rsid w:val="00813180"/>
    <w:rsid w:val="00846EB5"/>
    <w:rsid w:val="009578EB"/>
    <w:rsid w:val="00970DEB"/>
    <w:rsid w:val="009B7A2F"/>
    <w:rsid w:val="00A40012"/>
    <w:rsid w:val="00A52E3D"/>
    <w:rsid w:val="00A87237"/>
    <w:rsid w:val="00B8440C"/>
    <w:rsid w:val="00B90761"/>
    <w:rsid w:val="00C14E49"/>
    <w:rsid w:val="00C96FB6"/>
    <w:rsid w:val="00CF03E4"/>
    <w:rsid w:val="00CF7668"/>
    <w:rsid w:val="00D136A1"/>
    <w:rsid w:val="00D14A4F"/>
    <w:rsid w:val="00D26117"/>
    <w:rsid w:val="00E21B5F"/>
    <w:rsid w:val="00E67EE0"/>
    <w:rsid w:val="00F41E6E"/>
    <w:rsid w:val="00F763C3"/>
    <w:rsid w:val="00F947C2"/>
    <w:rsid w:val="00FA0CA2"/>
    <w:rsid w:val="00FA1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8240"/>
  <w15:docId w15:val="{546F8096-3878-4112-B844-981C5A19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 w:line="269" w:lineRule="auto"/>
      <w:ind w:left="10" w:hanging="10"/>
    </w:pPr>
    <w:rPr>
      <w:rFonts w:ascii="Times New Roman" w:eastAsia="Times New Roman" w:hAnsi="Times New Roman" w:cs="Times New Roman"/>
      <w:color w:val="000000"/>
      <w:sz w:val="24"/>
    </w:rPr>
  </w:style>
  <w:style w:type="paragraph" w:styleId="Nadpis1">
    <w:name w:val="heading 1"/>
    <w:next w:val="Normln"/>
    <w:link w:val="Nadpis1Char"/>
    <w:uiPriority w:val="9"/>
    <w:qFormat/>
    <w:pPr>
      <w:keepNext/>
      <w:keepLines/>
      <w:spacing w:after="0"/>
      <w:ind w:left="10" w:hanging="10"/>
      <w:outlineLvl w:val="0"/>
    </w:pPr>
    <w:rPr>
      <w:rFonts w:ascii="Times New Roman" w:eastAsia="Times New Roman" w:hAnsi="Times New Roman" w:cs="Times New Roman"/>
      <w:b/>
      <w:color w:val="000000"/>
      <w:sz w:val="28"/>
      <w:u w:val="single" w:color="000000"/>
    </w:rPr>
  </w:style>
  <w:style w:type="paragraph" w:styleId="Nadpis2">
    <w:name w:val="heading 2"/>
    <w:next w:val="Normln"/>
    <w:link w:val="Nadpis2Char"/>
    <w:uiPriority w:val="9"/>
    <w:unhideWhenUsed/>
    <w:qFormat/>
    <w:pPr>
      <w:keepNext/>
      <w:keepLines/>
      <w:spacing w:after="24"/>
      <w:ind w:left="437" w:hanging="10"/>
      <w:outlineLvl w:val="1"/>
    </w:pPr>
    <w:rPr>
      <w:rFonts w:ascii="Times New Roman" w:eastAsia="Times New Roman" w:hAnsi="Times New Roman" w:cs="Times New Roman"/>
      <w:b/>
      <w:i/>
      <w:color w:val="000000"/>
      <w:sz w:val="24"/>
      <w:u w:val="single" w:color="000000"/>
    </w:rPr>
  </w:style>
  <w:style w:type="paragraph" w:styleId="Nadpis3">
    <w:name w:val="heading 3"/>
    <w:next w:val="Normln"/>
    <w:link w:val="Nadpis3Char"/>
    <w:uiPriority w:val="9"/>
    <w:unhideWhenUsed/>
    <w:qFormat/>
    <w:pPr>
      <w:keepNext/>
      <w:keepLines/>
      <w:spacing w:after="23"/>
      <w:ind w:left="437" w:hanging="10"/>
      <w:outlineLvl w:val="2"/>
    </w:pPr>
    <w:rPr>
      <w:rFonts w:ascii="Times New Roman" w:eastAsia="Times New Roman" w:hAnsi="Times New Roman" w:cs="Times New Roman"/>
      <w:i/>
      <w:color w:val="000000"/>
      <w:sz w:val="24"/>
      <w:u w:val="single" w:color="000000"/>
    </w:rPr>
  </w:style>
  <w:style w:type="paragraph" w:styleId="Nadpis4">
    <w:name w:val="heading 4"/>
    <w:basedOn w:val="Normln"/>
    <w:next w:val="Normln"/>
    <w:link w:val="Nadpis4Char"/>
    <w:uiPriority w:val="9"/>
    <w:semiHidden/>
    <w:unhideWhenUsed/>
    <w:qFormat/>
    <w:rsid w:val="00C96FB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Times New Roman" w:eastAsia="Times New Roman" w:hAnsi="Times New Roman" w:cs="Times New Roman"/>
      <w:b/>
      <w:i/>
      <w:color w:val="000000"/>
      <w:sz w:val="24"/>
      <w:u w:val="single" w:color="000000"/>
    </w:rPr>
  </w:style>
  <w:style w:type="character" w:customStyle="1" w:styleId="Nadpis1Char">
    <w:name w:val="Nadpis 1 Char"/>
    <w:link w:val="Nadpis1"/>
    <w:rPr>
      <w:rFonts w:ascii="Times New Roman" w:eastAsia="Times New Roman" w:hAnsi="Times New Roman" w:cs="Times New Roman"/>
      <w:b/>
      <w:color w:val="000000"/>
      <w:sz w:val="28"/>
      <w:u w:val="single" w:color="000000"/>
    </w:rPr>
  </w:style>
  <w:style w:type="character" w:customStyle="1" w:styleId="Nadpis3Char">
    <w:name w:val="Nadpis 3 Char"/>
    <w:link w:val="Nadpis3"/>
    <w:rPr>
      <w:rFonts w:ascii="Times New Roman" w:eastAsia="Times New Roman" w:hAnsi="Times New Roman" w:cs="Times New Roman"/>
      <w:i/>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58293D"/>
    <w:pPr>
      <w:spacing w:after="160" w:line="259" w:lineRule="auto"/>
      <w:ind w:left="720" w:firstLine="0"/>
      <w:contextualSpacing/>
    </w:pPr>
    <w:rPr>
      <w:rFonts w:asciiTheme="minorHAnsi" w:eastAsiaTheme="minorHAnsi" w:hAnsiTheme="minorHAnsi" w:cstheme="minorBidi"/>
      <w:color w:val="auto"/>
      <w:sz w:val="22"/>
      <w:lang w:eastAsia="en-US"/>
    </w:rPr>
  </w:style>
  <w:style w:type="character" w:customStyle="1" w:styleId="Nadpis4Char">
    <w:name w:val="Nadpis 4 Char"/>
    <w:basedOn w:val="Standardnpsmoodstavce"/>
    <w:link w:val="Nadpis4"/>
    <w:uiPriority w:val="9"/>
    <w:semiHidden/>
    <w:rsid w:val="00C96FB6"/>
    <w:rPr>
      <w:rFonts w:asciiTheme="majorHAnsi" w:eastAsiaTheme="majorEastAsia" w:hAnsiTheme="majorHAnsi" w:cstheme="majorBidi"/>
      <w:i/>
      <w:iCs/>
      <w:color w:val="2F5496" w:themeColor="accent1" w:themeShade="BF"/>
      <w:sz w:val="24"/>
    </w:rPr>
  </w:style>
  <w:style w:type="paragraph" w:styleId="Zkladntext">
    <w:name w:val="Body Text"/>
    <w:basedOn w:val="Normln"/>
    <w:link w:val="ZkladntextChar"/>
    <w:rsid w:val="00C96FB6"/>
    <w:pPr>
      <w:suppressAutoHyphens/>
      <w:spacing w:after="0" w:line="240" w:lineRule="auto"/>
      <w:ind w:left="0" w:firstLine="0"/>
      <w:jc w:val="both"/>
    </w:pPr>
    <w:rPr>
      <w:i/>
      <w:color w:val="auto"/>
      <w:szCs w:val="24"/>
      <w:lang w:eastAsia="ar-SA"/>
    </w:rPr>
  </w:style>
  <w:style w:type="character" w:customStyle="1" w:styleId="ZkladntextChar">
    <w:name w:val="Základní text Char"/>
    <w:basedOn w:val="Standardnpsmoodstavce"/>
    <w:link w:val="Zkladntext"/>
    <w:rsid w:val="00C96FB6"/>
    <w:rPr>
      <w:rFonts w:ascii="Times New Roman" w:eastAsia="Times New Roman" w:hAnsi="Times New Roman" w:cs="Times New Roman"/>
      <w:i/>
      <w:sz w:val="24"/>
      <w:szCs w:val="24"/>
      <w:lang w:eastAsia="ar-SA"/>
    </w:rPr>
  </w:style>
  <w:style w:type="paragraph" w:customStyle="1" w:styleId="textpsmene">
    <w:name w:val="textpsmene"/>
    <w:basedOn w:val="Normln"/>
    <w:rsid w:val="00C96FB6"/>
    <w:pPr>
      <w:tabs>
        <w:tab w:val="left" w:pos="425"/>
      </w:tabs>
      <w:suppressAutoHyphens/>
      <w:spacing w:after="0" w:line="240" w:lineRule="auto"/>
      <w:ind w:left="425" w:hanging="425"/>
      <w:jc w:val="both"/>
    </w:pPr>
    <w:rPr>
      <w:rFonts w:eastAsia="Arial Unicode MS"/>
      <w:color w:val="auto"/>
      <w:szCs w:val="24"/>
      <w:lang w:eastAsia="ar-SA"/>
    </w:rPr>
  </w:style>
  <w:style w:type="paragraph" w:styleId="Zhlav">
    <w:name w:val="header"/>
    <w:basedOn w:val="Normln"/>
    <w:link w:val="ZhlavChar"/>
    <w:uiPriority w:val="99"/>
    <w:unhideWhenUsed/>
    <w:rsid w:val="00C14E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14E49"/>
    <w:rPr>
      <w:rFonts w:ascii="Times New Roman" w:eastAsia="Times New Roman" w:hAnsi="Times New Roman" w:cs="Times New Roman"/>
      <w:color w:val="000000"/>
      <w:sz w:val="24"/>
    </w:rPr>
  </w:style>
  <w:style w:type="paragraph" w:styleId="Zpat">
    <w:name w:val="footer"/>
    <w:basedOn w:val="Normln"/>
    <w:link w:val="ZpatChar"/>
    <w:uiPriority w:val="99"/>
    <w:semiHidden/>
    <w:unhideWhenUsed/>
    <w:rsid w:val="00C14E49"/>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C14E49"/>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3541">
      <w:bodyDiv w:val="1"/>
      <w:marLeft w:val="0"/>
      <w:marRight w:val="0"/>
      <w:marTop w:val="0"/>
      <w:marBottom w:val="0"/>
      <w:divBdr>
        <w:top w:val="none" w:sz="0" w:space="0" w:color="auto"/>
        <w:left w:val="none" w:sz="0" w:space="0" w:color="auto"/>
        <w:bottom w:val="none" w:sz="0" w:space="0" w:color="auto"/>
        <w:right w:val="none" w:sz="0" w:space="0" w:color="auto"/>
      </w:divBdr>
    </w:div>
    <w:div w:id="281808514">
      <w:bodyDiv w:val="1"/>
      <w:marLeft w:val="0"/>
      <w:marRight w:val="0"/>
      <w:marTop w:val="0"/>
      <w:marBottom w:val="0"/>
      <w:divBdr>
        <w:top w:val="none" w:sz="0" w:space="0" w:color="auto"/>
        <w:left w:val="none" w:sz="0" w:space="0" w:color="auto"/>
        <w:bottom w:val="none" w:sz="0" w:space="0" w:color="auto"/>
        <w:right w:val="none" w:sz="0" w:space="0" w:color="auto"/>
      </w:divBdr>
    </w:div>
    <w:div w:id="380176707">
      <w:bodyDiv w:val="1"/>
      <w:marLeft w:val="0"/>
      <w:marRight w:val="0"/>
      <w:marTop w:val="0"/>
      <w:marBottom w:val="0"/>
      <w:divBdr>
        <w:top w:val="none" w:sz="0" w:space="0" w:color="auto"/>
        <w:left w:val="none" w:sz="0" w:space="0" w:color="auto"/>
        <w:bottom w:val="none" w:sz="0" w:space="0" w:color="auto"/>
        <w:right w:val="none" w:sz="0" w:space="0" w:color="auto"/>
      </w:divBdr>
    </w:div>
    <w:div w:id="495993687">
      <w:bodyDiv w:val="1"/>
      <w:marLeft w:val="0"/>
      <w:marRight w:val="0"/>
      <w:marTop w:val="0"/>
      <w:marBottom w:val="0"/>
      <w:divBdr>
        <w:top w:val="none" w:sz="0" w:space="0" w:color="auto"/>
        <w:left w:val="none" w:sz="0" w:space="0" w:color="auto"/>
        <w:bottom w:val="none" w:sz="0" w:space="0" w:color="auto"/>
        <w:right w:val="none" w:sz="0" w:space="0" w:color="auto"/>
      </w:divBdr>
    </w:div>
    <w:div w:id="595137954">
      <w:bodyDiv w:val="1"/>
      <w:marLeft w:val="0"/>
      <w:marRight w:val="0"/>
      <w:marTop w:val="0"/>
      <w:marBottom w:val="0"/>
      <w:divBdr>
        <w:top w:val="none" w:sz="0" w:space="0" w:color="auto"/>
        <w:left w:val="none" w:sz="0" w:space="0" w:color="auto"/>
        <w:bottom w:val="none" w:sz="0" w:space="0" w:color="auto"/>
        <w:right w:val="none" w:sz="0" w:space="0" w:color="auto"/>
      </w:divBdr>
    </w:div>
    <w:div w:id="743573034">
      <w:bodyDiv w:val="1"/>
      <w:marLeft w:val="0"/>
      <w:marRight w:val="0"/>
      <w:marTop w:val="0"/>
      <w:marBottom w:val="0"/>
      <w:divBdr>
        <w:top w:val="none" w:sz="0" w:space="0" w:color="auto"/>
        <w:left w:val="none" w:sz="0" w:space="0" w:color="auto"/>
        <w:bottom w:val="none" w:sz="0" w:space="0" w:color="auto"/>
        <w:right w:val="none" w:sz="0" w:space="0" w:color="auto"/>
      </w:divBdr>
    </w:div>
    <w:div w:id="1577011163">
      <w:bodyDiv w:val="1"/>
      <w:marLeft w:val="0"/>
      <w:marRight w:val="0"/>
      <w:marTop w:val="0"/>
      <w:marBottom w:val="0"/>
      <w:divBdr>
        <w:top w:val="none" w:sz="0" w:space="0" w:color="auto"/>
        <w:left w:val="none" w:sz="0" w:space="0" w:color="auto"/>
        <w:bottom w:val="none" w:sz="0" w:space="0" w:color="auto"/>
        <w:right w:val="none" w:sz="0" w:space="0" w:color="auto"/>
      </w:divBdr>
    </w:div>
    <w:div w:id="1701586684">
      <w:bodyDiv w:val="1"/>
      <w:marLeft w:val="0"/>
      <w:marRight w:val="0"/>
      <w:marTop w:val="0"/>
      <w:marBottom w:val="0"/>
      <w:divBdr>
        <w:top w:val="none" w:sz="0" w:space="0" w:color="auto"/>
        <w:left w:val="none" w:sz="0" w:space="0" w:color="auto"/>
        <w:bottom w:val="none" w:sz="0" w:space="0" w:color="auto"/>
        <w:right w:val="none" w:sz="0" w:space="0" w:color="auto"/>
      </w:divBdr>
    </w:div>
    <w:div w:id="1931044721">
      <w:bodyDiv w:val="1"/>
      <w:marLeft w:val="0"/>
      <w:marRight w:val="0"/>
      <w:marTop w:val="0"/>
      <w:marBottom w:val="0"/>
      <w:divBdr>
        <w:top w:val="none" w:sz="0" w:space="0" w:color="auto"/>
        <w:left w:val="none" w:sz="0" w:space="0" w:color="auto"/>
        <w:bottom w:val="none" w:sz="0" w:space="0" w:color="auto"/>
        <w:right w:val="none" w:sz="0" w:space="0" w:color="auto"/>
      </w:divBdr>
    </w:div>
    <w:div w:id="212526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2861</Words>
  <Characters>16883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Plyn-Technická zpráva</vt:lpstr>
    </vt:vector>
  </TitlesOfParts>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Plyn-Technická zpráva</dc:title>
  <dc:subject/>
  <dc:creator>vprus</dc:creator>
  <cp:keywords/>
  <cp:lastModifiedBy>Vitezslav Prusa</cp:lastModifiedBy>
  <cp:revision>2</cp:revision>
  <cp:lastPrinted>2022-02-03T11:31:00Z</cp:lastPrinted>
  <dcterms:created xsi:type="dcterms:W3CDTF">2022-03-29T17:00:00Z</dcterms:created>
  <dcterms:modified xsi:type="dcterms:W3CDTF">2022-03-29T17:00:00Z</dcterms:modified>
</cp:coreProperties>
</file>